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ED" w:rsidRPr="005C7AAE" w:rsidRDefault="009B74ED" w:rsidP="00581968">
      <w:pPr>
        <w:jc w:val="center"/>
      </w:pPr>
    </w:p>
    <w:p w:rsidR="001322CD" w:rsidRPr="005C7AAE" w:rsidRDefault="00FD0915" w:rsidP="009B74ED">
      <w:pPr>
        <w:jc w:val="center"/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  <w:drawing>
          <wp:inline distT="0" distB="0" distL="0" distR="0">
            <wp:extent cx="3781425" cy="2314575"/>
            <wp:effectExtent l="19050" t="0" r="9525" b="0"/>
            <wp:docPr id="1" name="Resim 2" descr="Oib_logo_mavi_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ib_logo_mavi_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B3353E">
      <w:pPr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9B74ED" w:rsidRPr="005C7AAE" w:rsidRDefault="00795961" w:rsidP="009B74ED">
      <w:pPr>
        <w:jc w:val="center"/>
        <w:rPr>
          <w:b/>
          <w:color w:val="008000"/>
          <w:sz w:val="52"/>
          <w:szCs w:val="52"/>
        </w:rPr>
      </w:pPr>
      <w:r w:rsidRPr="005C7AAE">
        <w:rPr>
          <w:b/>
          <w:color w:val="008000"/>
          <w:sz w:val="52"/>
          <w:szCs w:val="52"/>
        </w:rPr>
        <w:t xml:space="preserve">ULUDAĞ </w:t>
      </w:r>
      <w:r w:rsidR="001322CD" w:rsidRPr="005C7AAE">
        <w:rPr>
          <w:b/>
          <w:color w:val="008000"/>
          <w:sz w:val="52"/>
          <w:szCs w:val="52"/>
        </w:rPr>
        <w:t xml:space="preserve">OTOMOTİV ENDÜSTRİSİ </w:t>
      </w:r>
      <w:r w:rsidR="00FB4F21" w:rsidRPr="005C7AAE">
        <w:rPr>
          <w:b/>
          <w:color w:val="008000"/>
          <w:sz w:val="52"/>
          <w:szCs w:val="52"/>
        </w:rPr>
        <w:t>İHRACATÇILARI BİRLİĞİ</w:t>
      </w:r>
      <w:r w:rsidR="004F1A40" w:rsidRPr="005C7AAE">
        <w:rPr>
          <w:color w:val="008000"/>
          <w:sz w:val="52"/>
          <w:szCs w:val="52"/>
        </w:rPr>
        <w:tab/>
      </w:r>
    </w:p>
    <w:p w:rsidR="009B74ED" w:rsidRPr="005C7AAE" w:rsidRDefault="009B74ED" w:rsidP="009B74ED">
      <w:pPr>
        <w:jc w:val="center"/>
        <w:rPr>
          <w:b/>
          <w:color w:val="008000"/>
          <w:sz w:val="52"/>
          <w:szCs w:val="52"/>
        </w:rPr>
      </w:pPr>
      <w:r w:rsidRPr="005C7AAE">
        <w:rPr>
          <w:b/>
          <w:color w:val="008000"/>
          <w:sz w:val="52"/>
          <w:szCs w:val="52"/>
        </w:rPr>
        <w:t>İHRACAT BÜLTENİ</w:t>
      </w:r>
      <w:r w:rsidR="00FB4F21" w:rsidRPr="005C7AAE">
        <w:rPr>
          <w:b/>
          <w:color w:val="008000"/>
          <w:sz w:val="52"/>
          <w:szCs w:val="52"/>
        </w:rPr>
        <w:t xml:space="preserve"> </w:t>
      </w:r>
    </w:p>
    <w:p w:rsidR="009B74ED" w:rsidRPr="005C7AAE" w:rsidRDefault="009B74ED">
      <w:pPr>
        <w:rPr>
          <w:sz w:val="52"/>
          <w:szCs w:val="52"/>
        </w:rPr>
      </w:pPr>
    </w:p>
    <w:p w:rsidR="00E74421" w:rsidRPr="005C7AAE" w:rsidRDefault="00E74421" w:rsidP="00E74421">
      <w:pPr>
        <w:jc w:val="center"/>
        <w:rPr>
          <w:sz w:val="52"/>
          <w:szCs w:val="52"/>
        </w:rPr>
      </w:pPr>
    </w:p>
    <w:p w:rsidR="0062537F" w:rsidRPr="005C7AAE" w:rsidRDefault="003C7B18" w:rsidP="0062537F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NİSAN</w:t>
      </w:r>
      <w:r w:rsidR="002539F6">
        <w:rPr>
          <w:b/>
          <w:color w:val="008000"/>
          <w:sz w:val="52"/>
          <w:szCs w:val="52"/>
        </w:rPr>
        <w:t xml:space="preserve"> 2013</w:t>
      </w:r>
    </w:p>
    <w:p w:rsidR="0062537F" w:rsidRPr="005C7AAE" w:rsidRDefault="0062537F">
      <w:pPr>
        <w:rPr>
          <w:sz w:val="52"/>
          <w:szCs w:val="52"/>
        </w:rPr>
      </w:pPr>
    </w:p>
    <w:p w:rsidR="00B3353E" w:rsidRPr="005C7AAE" w:rsidRDefault="00B3353E">
      <w:pPr>
        <w:rPr>
          <w:sz w:val="52"/>
          <w:szCs w:val="52"/>
        </w:rPr>
      </w:pPr>
    </w:p>
    <w:p w:rsidR="00B3353E" w:rsidRPr="005C7AAE" w:rsidRDefault="00B3353E">
      <w:pPr>
        <w:rPr>
          <w:sz w:val="52"/>
          <w:szCs w:val="52"/>
        </w:rPr>
      </w:pPr>
    </w:p>
    <w:p w:rsidR="002E458D" w:rsidRDefault="002E458D">
      <w:pPr>
        <w:rPr>
          <w:sz w:val="52"/>
          <w:szCs w:val="52"/>
        </w:rPr>
      </w:pPr>
    </w:p>
    <w:p w:rsidR="00BB7794" w:rsidRPr="005C7AAE" w:rsidRDefault="00BB7794"/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Pr="009B0144" w:rsidRDefault="009B0144" w:rsidP="0044585C">
      <w:pPr>
        <w:jc w:val="center"/>
        <w:rPr>
          <w:b/>
          <w:snapToGrid w:val="0"/>
          <w:color w:val="0000FF"/>
          <w:sz w:val="52"/>
          <w:szCs w:val="52"/>
        </w:rPr>
      </w:pPr>
      <w:r w:rsidRPr="009B0144">
        <w:rPr>
          <w:b/>
          <w:snapToGrid w:val="0"/>
          <w:color w:val="0000FF"/>
          <w:sz w:val="52"/>
          <w:szCs w:val="52"/>
        </w:rPr>
        <w:t>TÜRKİYE GENELİ OTOMOTİV ENDÜSTRİSİ İHRACATI</w:t>
      </w: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6668DA" w:rsidRDefault="006668DA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7C0AAF" w:rsidRDefault="007C0AAF" w:rsidP="0044585C">
      <w:pPr>
        <w:jc w:val="center"/>
        <w:rPr>
          <w:b/>
          <w:snapToGrid w:val="0"/>
          <w:color w:val="0000FF"/>
          <w:sz w:val="24"/>
        </w:rPr>
      </w:pPr>
    </w:p>
    <w:p w:rsidR="00FE3A18" w:rsidRDefault="00FE3A18" w:rsidP="0044585C">
      <w:pPr>
        <w:jc w:val="center"/>
        <w:rPr>
          <w:b/>
          <w:snapToGrid w:val="0"/>
          <w:color w:val="0000FF"/>
          <w:sz w:val="24"/>
        </w:rPr>
      </w:pPr>
    </w:p>
    <w:p w:rsidR="00F15D7E" w:rsidRDefault="00F15D7E" w:rsidP="0044585C">
      <w:pPr>
        <w:jc w:val="center"/>
        <w:rPr>
          <w:b/>
          <w:snapToGrid w:val="0"/>
          <w:color w:val="0000FF"/>
          <w:sz w:val="24"/>
        </w:rPr>
      </w:pPr>
    </w:p>
    <w:p w:rsidR="00581968" w:rsidRPr="005C7AAE" w:rsidRDefault="009B74ED" w:rsidP="0044585C">
      <w:pPr>
        <w:jc w:val="center"/>
        <w:rPr>
          <w:b/>
          <w:snapToGrid w:val="0"/>
          <w:color w:val="0000FF"/>
          <w:sz w:val="24"/>
        </w:rPr>
      </w:pPr>
      <w:r w:rsidRPr="005C7AAE">
        <w:rPr>
          <w:b/>
          <w:snapToGrid w:val="0"/>
          <w:color w:val="0000FF"/>
          <w:sz w:val="24"/>
        </w:rPr>
        <w:t>TÜRKİYE</w:t>
      </w:r>
      <w:r w:rsidR="002640E4">
        <w:rPr>
          <w:b/>
          <w:snapToGrid w:val="0"/>
          <w:color w:val="0000FF"/>
          <w:sz w:val="24"/>
        </w:rPr>
        <w:t>-</w:t>
      </w:r>
      <w:r w:rsidRPr="005C7AAE">
        <w:rPr>
          <w:b/>
          <w:snapToGrid w:val="0"/>
          <w:color w:val="0000FF"/>
          <w:sz w:val="24"/>
        </w:rPr>
        <w:t xml:space="preserve"> </w:t>
      </w:r>
      <w:r w:rsidR="006A5B6E">
        <w:rPr>
          <w:b/>
          <w:snapToGrid w:val="0"/>
          <w:color w:val="0000FF"/>
          <w:sz w:val="24"/>
        </w:rPr>
        <w:t>NİSAN</w:t>
      </w:r>
      <w:r w:rsidR="00D30FBC" w:rsidRPr="005C7AAE">
        <w:rPr>
          <w:b/>
          <w:snapToGrid w:val="0"/>
          <w:color w:val="0000FF"/>
          <w:sz w:val="24"/>
        </w:rPr>
        <w:t xml:space="preserve"> </w:t>
      </w:r>
      <w:r w:rsidRPr="005C7AAE">
        <w:rPr>
          <w:b/>
          <w:snapToGrid w:val="0"/>
          <w:color w:val="0000FF"/>
          <w:sz w:val="24"/>
        </w:rPr>
        <w:t>20</w:t>
      </w:r>
      <w:r w:rsidR="001322CD" w:rsidRPr="005C7AAE">
        <w:rPr>
          <w:b/>
          <w:snapToGrid w:val="0"/>
          <w:color w:val="0000FF"/>
          <w:sz w:val="24"/>
        </w:rPr>
        <w:t>1</w:t>
      </w:r>
      <w:r w:rsidR="00E649B9">
        <w:rPr>
          <w:b/>
          <w:snapToGrid w:val="0"/>
          <w:color w:val="0000FF"/>
          <w:sz w:val="24"/>
        </w:rPr>
        <w:t>3</w:t>
      </w:r>
      <w:r w:rsidRPr="005C7AAE">
        <w:rPr>
          <w:snapToGrid w:val="0"/>
          <w:color w:val="0000FF"/>
          <w:sz w:val="24"/>
        </w:rPr>
        <w:t xml:space="preserve"> </w:t>
      </w:r>
      <w:r w:rsidR="00047BE9" w:rsidRPr="00047BE9">
        <w:rPr>
          <w:b/>
          <w:snapToGrid w:val="0"/>
          <w:color w:val="0000FF"/>
          <w:sz w:val="24"/>
        </w:rPr>
        <w:t>AYLIK</w:t>
      </w:r>
      <w:r w:rsidR="00047BE9">
        <w:rPr>
          <w:snapToGrid w:val="0"/>
          <w:color w:val="0000FF"/>
          <w:sz w:val="24"/>
        </w:rPr>
        <w:t xml:space="preserve"> </w:t>
      </w:r>
      <w:r w:rsidRPr="005C7AAE">
        <w:rPr>
          <w:b/>
          <w:snapToGrid w:val="0"/>
          <w:color w:val="0000FF"/>
          <w:sz w:val="24"/>
        </w:rPr>
        <w:t>İHRACAT RAKAMLARI</w:t>
      </w:r>
    </w:p>
    <w:p w:rsidR="00B5431D" w:rsidRDefault="00B5431D" w:rsidP="00417457">
      <w:pPr>
        <w:tabs>
          <w:tab w:val="left" w:pos="1410"/>
        </w:tabs>
        <w:rPr>
          <w:sz w:val="18"/>
          <w:szCs w:val="18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B5431D" w:rsidRPr="005C7AAE" w:rsidTr="00B5431D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B5431D" w:rsidRPr="005671D7" w:rsidRDefault="00B5431D" w:rsidP="00B5431D">
            <w:pPr>
              <w:rPr>
                <w:b/>
                <w:color w:val="000000"/>
                <w:sz w:val="24"/>
                <w:szCs w:val="24"/>
              </w:rPr>
            </w:pPr>
            <w:r w:rsidRPr="005671D7">
              <w:rPr>
                <w:color w:val="000000"/>
                <w:sz w:val="24"/>
                <w:szCs w:val="24"/>
              </w:rPr>
              <w:t> </w:t>
            </w:r>
            <w:r w:rsidRPr="005671D7">
              <w:rPr>
                <w:b/>
                <w:color w:val="000000"/>
                <w:sz w:val="24"/>
                <w:szCs w:val="24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B5431D" w:rsidRPr="005671D7" w:rsidRDefault="006A5B6E" w:rsidP="000B0B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NİSAN</w:t>
            </w:r>
          </w:p>
        </w:tc>
      </w:tr>
      <w:tr w:rsidR="00B5431D" w:rsidRPr="005C7AAE" w:rsidTr="00AC1EAF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B5431D" w:rsidRPr="005671D7" w:rsidRDefault="00B5431D" w:rsidP="00B543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5431D" w:rsidRPr="005671D7" w:rsidRDefault="00B5431D" w:rsidP="00B543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6A6061" w:rsidRPr="005671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D47A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5431D" w:rsidRPr="005671D7" w:rsidRDefault="00B5431D" w:rsidP="000D47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0D47A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B5431D" w:rsidRPr="005671D7" w:rsidRDefault="00B564ED" w:rsidP="000D47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Değişim    ('1</w:t>
            </w:r>
            <w:r w:rsidR="000D47A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5431D" w:rsidRPr="005671D7">
              <w:rPr>
                <w:b/>
                <w:bCs/>
                <w:color w:val="000000"/>
                <w:sz w:val="24"/>
                <w:szCs w:val="24"/>
              </w:rPr>
              <w:t>/'</w:t>
            </w:r>
            <w:r w:rsidR="006A6061" w:rsidRPr="005671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D47A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5431D" w:rsidRPr="005671D7">
              <w:rPr>
                <w:b/>
                <w:bCs/>
                <w:color w:val="000000"/>
                <w:sz w:val="24"/>
                <w:szCs w:val="24"/>
              </w:rPr>
              <w:t>)</w:t>
            </w:r>
            <w:r w:rsidR="00AC1EAF" w:rsidRPr="005671D7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B5431D" w:rsidRPr="005671D7" w:rsidRDefault="00B5431D" w:rsidP="006A6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 xml:space="preserve"> Pay(1</w:t>
            </w:r>
            <w:r w:rsidR="000D47A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)  (%)</w:t>
            </w:r>
          </w:p>
        </w:tc>
      </w:tr>
      <w:tr w:rsidR="006A5B6E" w:rsidRPr="005C7AAE" w:rsidTr="00287D93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6A5B6E" w:rsidRPr="006A5B6E" w:rsidRDefault="006A5B6E" w:rsidP="00184F57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A5B6E">
              <w:rPr>
                <w:color w:val="000000" w:themeColor="text1"/>
                <w:sz w:val="24"/>
                <w:szCs w:val="24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5B6E">
              <w:rPr>
                <w:color w:val="000000"/>
                <w:sz w:val="24"/>
                <w:szCs w:val="24"/>
                <w:highlight w:val="yellow"/>
              </w:rPr>
              <w:t>1.630.201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5B6E">
              <w:rPr>
                <w:color w:val="000000"/>
                <w:sz w:val="24"/>
                <w:szCs w:val="24"/>
                <w:highlight w:val="yellow"/>
              </w:rPr>
              <w:t>1.769.820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5B6E">
              <w:rPr>
                <w:color w:val="000000"/>
                <w:sz w:val="24"/>
                <w:szCs w:val="24"/>
                <w:highlight w:val="yellow"/>
              </w:rPr>
              <w:t>1</w:t>
            </w:r>
            <w:r>
              <w:rPr>
                <w:color w:val="000000"/>
                <w:sz w:val="24"/>
                <w:szCs w:val="24"/>
                <w:highlight w:val="yellow"/>
              </w:rPr>
              <w:t>5</w:t>
            </w:r>
          </w:p>
        </w:tc>
      </w:tr>
      <w:tr w:rsidR="006A5B6E" w:rsidRPr="005C7AAE" w:rsidTr="00287D93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6A5B6E" w:rsidRPr="00081442" w:rsidRDefault="006A5B6E" w:rsidP="00333B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1.482.167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1.432.648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A5B6E" w:rsidRPr="005C7AAE" w:rsidTr="00287D93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6A5B6E" w:rsidRPr="00A26B09" w:rsidRDefault="006A5B6E" w:rsidP="002819EC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Hazırgiyim</w:t>
            </w:r>
            <w:proofErr w:type="spellEnd"/>
            <w:r>
              <w:rPr>
                <w:sz w:val="24"/>
                <w:szCs w:val="24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1.215.281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1.327.330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A5B6E" w:rsidRPr="005C7AAE" w:rsidTr="00287D93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6A5B6E" w:rsidRPr="001937DD" w:rsidRDefault="006A5B6E" w:rsidP="004F4F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1.328.581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1.248.550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A5B6E" w:rsidRPr="005C7AAE" w:rsidTr="00287D93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6A5B6E" w:rsidRPr="00A26B09" w:rsidRDefault="006A5B6E" w:rsidP="001937DD">
            <w:pPr>
              <w:rPr>
                <w:sz w:val="24"/>
                <w:szCs w:val="24"/>
              </w:rPr>
            </w:pPr>
            <w:r w:rsidRPr="00A26B09">
              <w:rPr>
                <w:sz w:val="24"/>
                <w:szCs w:val="24"/>
              </w:rPr>
              <w:t xml:space="preserve">Elektrik-Elektronik </w:t>
            </w:r>
            <w:proofErr w:type="spellStart"/>
            <w:r w:rsidRPr="00A26B09">
              <w:rPr>
                <w:sz w:val="24"/>
                <w:szCs w:val="24"/>
              </w:rPr>
              <w:t>Mak</w:t>
            </w:r>
            <w:proofErr w:type="spellEnd"/>
            <w:r w:rsidRPr="00A26B09">
              <w:rPr>
                <w:sz w:val="24"/>
                <w:szCs w:val="24"/>
              </w:rPr>
              <w:t>. Bilişim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1.050.592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921.225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 w:rsidRPr="006A5B6E">
              <w:rPr>
                <w:color w:val="000000"/>
                <w:sz w:val="24"/>
                <w:szCs w:val="24"/>
              </w:rPr>
              <w:t>-12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A5B6E" w:rsidRPr="006A5B6E" w:rsidRDefault="006A5B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A5B6E" w:rsidRPr="005C7AAE" w:rsidTr="00287D93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A5B6E" w:rsidRPr="00A26B09" w:rsidRDefault="006A5B6E" w:rsidP="009325B9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A26B09">
              <w:rPr>
                <w:b/>
                <w:bCs/>
                <w:snapToGrid w:val="0"/>
                <w:sz w:val="24"/>
                <w:szCs w:val="24"/>
              </w:rPr>
              <w:t>T O P L A 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A5B6E" w:rsidRPr="009008AD" w:rsidRDefault="006A5B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08AD">
              <w:rPr>
                <w:b/>
                <w:bCs/>
                <w:color w:val="000000"/>
                <w:sz w:val="24"/>
                <w:szCs w:val="24"/>
              </w:rPr>
              <w:t>11.316.112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A5B6E" w:rsidRPr="009008AD" w:rsidRDefault="006A5B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08AD">
              <w:rPr>
                <w:b/>
                <w:bCs/>
                <w:color w:val="000000"/>
                <w:sz w:val="24"/>
                <w:szCs w:val="24"/>
              </w:rPr>
              <w:t>11.870.070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A5B6E" w:rsidRPr="009008AD" w:rsidRDefault="006A5B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08A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A5B6E" w:rsidRPr="009008AD" w:rsidRDefault="006A5B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08AD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5431D" w:rsidRPr="005C7AAE" w:rsidRDefault="00B5431D" w:rsidP="00417457">
      <w:pPr>
        <w:tabs>
          <w:tab w:val="left" w:pos="1410"/>
        </w:tabs>
        <w:rPr>
          <w:sz w:val="18"/>
          <w:szCs w:val="18"/>
        </w:rPr>
      </w:pPr>
      <w:proofErr w:type="gramStart"/>
      <w:r w:rsidRPr="005C7AAE">
        <w:rPr>
          <w:sz w:val="18"/>
          <w:szCs w:val="18"/>
        </w:rPr>
        <w:t>Kaynak:TİM</w:t>
      </w:r>
      <w:proofErr w:type="gramEnd"/>
    </w:p>
    <w:p w:rsidR="00417457" w:rsidRDefault="00417457" w:rsidP="00417457">
      <w:pPr>
        <w:tabs>
          <w:tab w:val="left" w:pos="2340"/>
        </w:tabs>
        <w:jc w:val="both"/>
      </w:pPr>
    </w:p>
    <w:p w:rsidR="00B042F1" w:rsidRPr="00EC5FFF" w:rsidRDefault="004F4FA6" w:rsidP="00EC5FFF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b/>
          <w:sz w:val="24"/>
          <w:szCs w:val="24"/>
        </w:rPr>
      </w:pPr>
      <w:r w:rsidRPr="00EC5FFF">
        <w:rPr>
          <w:b/>
          <w:sz w:val="24"/>
          <w:szCs w:val="24"/>
        </w:rPr>
        <w:t xml:space="preserve">Türkiye İhracatı </w:t>
      </w:r>
      <w:r w:rsidR="006A5B6E">
        <w:rPr>
          <w:b/>
          <w:sz w:val="24"/>
          <w:szCs w:val="24"/>
        </w:rPr>
        <w:t>Nisan</w:t>
      </w:r>
      <w:r w:rsidRPr="00EC5FFF">
        <w:rPr>
          <w:b/>
          <w:sz w:val="24"/>
          <w:szCs w:val="24"/>
        </w:rPr>
        <w:t xml:space="preserve"> 201</w:t>
      </w:r>
      <w:r w:rsidR="002848C6">
        <w:rPr>
          <w:b/>
          <w:sz w:val="24"/>
          <w:szCs w:val="24"/>
        </w:rPr>
        <w:t>3</w:t>
      </w:r>
      <w:r w:rsidR="003A0631">
        <w:rPr>
          <w:b/>
          <w:sz w:val="24"/>
          <w:szCs w:val="24"/>
        </w:rPr>
        <w:t>’</w:t>
      </w:r>
      <w:r w:rsidR="006A5B6E">
        <w:rPr>
          <w:b/>
          <w:sz w:val="24"/>
          <w:szCs w:val="24"/>
        </w:rPr>
        <w:t>te %5</w:t>
      </w:r>
      <w:r w:rsidR="002848C6">
        <w:rPr>
          <w:b/>
          <w:sz w:val="24"/>
          <w:szCs w:val="24"/>
        </w:rPr>
        <w:t xml:space="preserve"> artarak</w:t>
      </w:r>
      <w:r w:rsidR="00BE4C37" w:rsidRPr="00EC5FFF">
        <w:rPr>
          <w:b/>
          <w:sz w:val="24"/>
          <w:szCs w:val="24"/>
        </w:rPr>
        <w:t xml:space="preserve"> </w:t>
      </w:r>
      <w:r w:rsidR="0073076D">
        <w:rPr>
          <w:b/>
          <w:sz w:val="24"/>
          <w:szCs w:val="24"/>
        </w:rPr>
        <w:t>1</w:t>
      </w:r>
      <w:r w:rsidR="006A5B6E">
        <w:rPr>
          <w:b/>
          <w:sz w:val="24"/>
          <w:szCs w:val="24"/>
        </w:rPr>
        <w:t>1</w:t>
      </w:r>
      <w:r w:rsidR="00D87899" w:rsidRPr="00EC5FFF">
        <w:rPr>
          <w:b/>
          <w:sz w:val="24"/>
          <w:szCs w:val="24"/>
        </w:rPr>
        <w:t xml:space="preserve"> </w:t>
      </w:r>
      <w:r w:rsidR="00C04D74" w:rsidRPr="00EC5FFF">
        <w:rPr>
          <w:b/>
          <w:sz w:val="24"/>
          <w:szCs w:val="24"/>
        </w:rPr>
        <w:t xml:space="preserve">milyar </w:t>
      </w:r>
      <w:r w:rsidR="006A5B6E">
        <w:rPr>
          <w:b/>
          <w:sz w:val="24"/>
          <w:szCs w:val="24"/>
        </w:rPr>
        <w:t>870</w:t>
      </w:r>
      <w:r w:rsidR="001A2147">
        <w:rPr>
          <w:b/>
          <w:sz w:val="24"/>
          <w:szCs w:val="24"/>
        </w:rPr>
        <w:t xml:space="preserve"> milyon </w:t>
      </w:r>
      <w:r w:rsidR="00C04D74" w:rsidRPr="00EC5FFF">
        <w:rPr>
          <w:b/>
          <w:sz w:val="24"/>
          <w:szCs w:val="24"/>
        </w:rPr>
        <w:t>USD olarak gerçekleşmiştir.</w:t>
      </w:r>
    </w:p>
    <w:p w:rsidR="00AD0757" w:rsidRDefault="00AD0757" w:rsidP="00EC5FFF">
      <w:pPr>
        <w:tabs>
          <w:tab w:val="left" w:pos="2340"/>
        </w:tabs>
        <w:jc w:val="both"/>
        <w:rPr>
          <w:b/>
          <w:sz w:val="24"/>
          <w:szCs w:val="24"/>
        </w:rPr>
      </w:pPr>
    </w:p>
    <w:p w:rsidR="00B042F1" w:rsidRPr="00EC5FFF" w:rsidRDefault="006A5B6E" w:rsidP="00EC5FFF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Nisan</w:t>
      </w:r>
      <w:r w:rsidR="00B6111C">
        <w:rPr>
          <w:b/>
          <w:sz w:val="24"/>
          <w:szCs w:val="24"/>
        </w:rPr>
        <w:t xml:space="preserve"> 2013’te</w:t>
      </w:r>
      <w:r w:rsidR="00B564ED" w:rsidRPr="00EC5FFF">
        <w:rPr>
          <w:b/>
          <w:sz w:val="24"/>
          <w:szCs w:val="24"/>
        </w:rPr>
        <w:t xml:space="preserve"> </w:t>
      </w:r>
      <w:r w:rsidR="00BE4C37" w:rsidRPr="00EC5FFF">
        <w:rPr>
          <w:b/>
          <w:sz w:val="24"/>
          <w:szCs w:val="24"/>
        </w:rPr>
        <w:t>oto</w:t>
      </w:r>
      <w:r w:rsidR="00184F57" w:rsidRPr="00EC5FFF">
        <w:rPr>
          <w:b/>
          <w:sz w:val="24"/>
          <w:szCs w:val="24"/>
        </w:rPr>
        <w:t xml:space="preserve">motiv endüstrisi ihracatı </w:t>
      </w:r>
      <w:r w:rsidR="00BE4C37" w:rsidRPr="00EC5FFF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9 artarak</w:t>
      </w:r>
      <w:r w:rsidR="00FE2CB1">
        <w:rPr>
          <w:b/>
          <w:sz w:val="24"/>
          <w:szCs w:val="24"/>
        </w:rPr>
        <w:t xml:space="preserve"> </w:t>
      </w:r>
      <w:r w:rsidR="00184F57" w:rsidRPr="00EC5FFF">
        <w:rPr>
          <w:b/>
          <w:sz w:val="24"/>
          <w:szCs w:val="24"/>
        </w:rPr>
        <w:t>sektörler bazında Türkiye ihracatında</w:t>
      </w:r>
      <w:r w:rsidR="002052AC">
        <w:rPr>
          <w:b/>
          <w:sz w:val="24"/>
          <w:szCs w:val="24"/>
        </w:rPr>
        <w:t xml:space="preserve"> </w:t>
      </w:r>
      <w:r w:rsidR="003A0631">
        <w:rPr>
          <w:b/>
          <w:sz w:val="24"/>
          <w:szCs w:val="24"/>
        </w:rPr>
        <w:t xml:space="preserve">ilk sırada yer almıştır. </w:t>
      </w:r>
      <w:r>
        <w:rPr>
          <w:b/>
          <w:sz w:val="24"/>
          <w:szCs w:val="24"/>
        </w:rPr>
        <w:t>Nisan</w:t>
      </w:r>
      <w:r w:rsidR="002848C6">
        <w:rPr>
          <w:b/>
          <w:sz w:val="24"/>
          <w:szCs w:val="24"/>
        </w:rPr>
        <w:t xml:space="preserve"> 2013</w:t>
      </w:r>
      <w:r w:rsidR="00F11EC2">
        <w:rPr>
          <w:b/>
          <w:sz w:val="24"/>
          <w:szCs w:val="24"/>
        </w:rPr>
        <w:t>’</w:t>
      </w:r>
      <w:r w:rsidR="002848C6">
        <w:rPr>
          <w:b/>
          <w:sz w:val="24"/>
          <w:szCs w:val="24"/>
        </w:rPr>
        <w:t>t</w:t>
      </w:r>
      <w:r w:rsidR="00F11EC2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otomotiv endüstrisi 1 milyar 770</w:t>
      </w:r>
      <w:r w:rsidR="00F11EC2">
        <w:rPr>
          <w:b/>
          <w:sz w:val="24"/>
          <w:szCs w:val="24"/>
        </w:rPr>
        <w:t xml:space="preserve"> milyon </w:t>
      </w:r>
      <w:proofErr w:type="spellStart"/>
      <w:r w:rsidR="00F11EC2">
        <w:rPr>
          <w:b/>
          <w:sz w:val="24"/>
          <w:szCs w:val="24"/>
        </w:rPr>
        <w:t>USD’lik</w:t>
      </w:r>
      <w:proofErr w:type="spellEnd"/>
      <w:r w:rsidR="00F11EC2">
        <w:rPr>
          <w:b/>
          <w:sz w:val="24"/>
          <w:szCs w:val="24"/>
        </w:rPr>
        <w:t xml:space="preserve"> ihracata imza atmıştır. Endüstrinin</w:t>
      </w:r>
      <w:r w:rsidR="00225B7C" w:rsidRPr="00EC5FFF">
        <w:rPr>
          <w:b/>
          <w:sz w:val="24"/>
          <w:szCs w:val="24"/>
        </w:rPr>
        <w:t xml:space="preserve"> Tür</w:t>
      </w:r>
      <w:r w:rsidR="008D5A3D" w:rsidRPr="00EC5FFF">
        <w:rPr>
          <w:b/>
          <w:sz w:val="24"/>
          <w:szCs w:val="24"/>
        </w:rPr>
        <w:t>kiye ihracatından aldığı pay %1</w:t>
      </w:r>
      <w:r w:rsidR="00B6111C">
        <w:rPr>
          <w:b/>
          <w:sz w:val="24"/>
          <w:szCs w:val="24"/>
        </w:rPr>
        <w:t>5</w:t>
      </w:r>
      <w:r w:rsidR="00225B7C" w:rsidRPr="00EC5FFF">
        <w:rPr>
          <w:b/>
          <w:sz w:val="24"/>
          <w:szCs w:val="24"/>
        </w:rPr>
        <w:t xml:space="preserve"> olmuştur. </w:t>
      </w:r>
    </w:p>
    <w:p w:rsidR="00B042F1" w:rsidRPr="005C7AAE" w:rsidRDefault="00B042F1" w:rsidP="00EC5FFF">
      <w:pPr>
        <w:tabs>
          <w:tab w:val="left" w:pos="2340"/>
        </w:tabs>
        <w:jc w:val="both"/>
      </w:pPr>
    </w:p>
    <w:p w:rsidR="002A0810" w:rsidRPr="00316617" w:rsidRDefault="00287D93" w:rsidP="002A0810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</w:pPr>
      <w:r>
        <w:rPr>
          <w:sz w:val="24"/>
          <w:szCs w:val="24"/>
        </w:rPr>
        <w:t>Nisan ayında otobüs minibüs midibüs dışındaki tüm mal gruplarının ihracatında artış yaşanmış bu da toplam otomotiv ihracatına olumlu yansımıştır.</w:t>
      </w:r>
    </w:p>
    <w:p w:rsidR="00316617" w:rsidRDefault="00316617" w:rsidP="00316617">
      <w:pPr>
        <w:pStyle w:val="ListeParagraf"/>
      </w:pPr>
    </w:p>
    <w:p w:rsidR="006C4804" w:rsidRDefault="00287D93" w:rsidP="00316617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Nisan</w:t>
      </w:r>
      <w:r w:rsidR="00316617" w:rsidRPr="00316617">
        <w:rPr>
          <w:sz w:val="24"/>
          <w:szCs w:val="24"/>
        </w:rPr>
        <w:t xml:space="preserve"> 2013’te en önemli pazarımız konumunda b</w:t>
      </w:r>
      <w:r>
        <w:rPr>
          <w:sz w:val="24"/>
          <w:szCs w:val="24"/>
        </w:rPr>
        <w:t>ulunan AB Ülkelerine yönelik %10 ihracat artışı</w:t>
      </w:r>
      <w:r w:rsidR="00316617" w:rsidRPr="00316617">
        <w:rPr>
          <w:sz w:val="24"/>
          <w:szCs w:val="24"/>
        </w:rPr>
        <w:t xml:space="preserve"> doğrudan toplam otomotiv ihracatımı</w:t>
      </w:r>
      <w:r w:rsidR="0038346D">
        <w:rPr>
          <w:sz w:val="24"/>
          <w:szCs w:val="24"/>
        </w:rPr>
        <w:t>za da yansımıştır. Özellikle</w:t>
      </w:r>
      <w:r w:rsidR="00316617" w:rsidRPr="00316617">
        <w:rPr>
          <w:sz w:val="24"/>
          <w:szCs w:val="24"/>
        </w:rPr>
        <w:t xml:space="preserve"> </w:t>
      </w:r>
      <w:r w:rsidR="0038346D">
        <w:rPr>
          <w:sz w:val="24"/>
          <w:szCs w:val="24"/>
        </w:rPr>
        <w:t xml:space="preserve">en önemli </w:t>
      </w:r>
      <w:r>
        <w:rPr>
          <w:sz w:val="24"/>
          <w:szCs w:val="24"/>
        </w:rPr>
        <w:t xml:space="preserve">pazarlarımızdan Fransa’ya %14, İtalya’ya %13, Birleşik Krallığa %46, Birleşik Devletlere %34 ihracat </w:t>
      </w:r>
      <w:r w:rsidR="00DC2EAA">
        <w:rPr>
          <w:sz w:val="24"/>
          <w:szCs w:val="24"/>
        </w:rPr>
        <w:t>artışları dikkat çekmiştir. En önemli 7. Pazarımız konumunda olan Cezayir’e yönelik otomotiv ihracatı %67 artmıştır.</w:t>
      </w:r>
    </w:p>
    <w:p w:rsidR="00316617" w:rsidRPr="00316617" w:rsidRDefault="00316617" w:rsidP="00316617">
      <w:pPr>
        <w:pStyle w:val="ListeParagraf"/>
        <w:tabs>
          <w:tab w:val="left" w:pos="2340"/>
        </w:tabs>
        <w:ind w:left="0"/>
        <w:jc w:val="both"/>
        <w:rPr>
          <w:sz w:val="24"/>
          <w:szCs w:val="24"/>
        </w:rPr>
      </w:pPr>
    </w:p>
    <w:p w:rsidR="005542F2" w:rsidRDefault="00DC2EAA" w:rsidP="005542F2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sz w:val="24"/>
          <w:szCs w:val="24"/>
        </w:rPr>
      </w:pPr>
      <w:r w:rsidRPr="00DC2EAA">
        <w:rPr>
          <w:sz w:val="24"/>
          <w:szCs w:val="24"/>
        </w:rPr>
        <w:t>Otomotiv ihracatında aydan aya değişimler gözlenmektedir. Yılın ilk dört ay</w:t>
      </w:r>
      <w:r>
        <w:rPr>
          <w:sz w:val="24"/>
          <w:szCs w:val="24"/>
        </w:rPr>
        <w:t>ında otomotiv ihracatı Şubat ve Nisan aylarında artarken, Ocak ve Mart aylarında azalmıştır.</w:t>
      </w:r>
    </w:p>
    <w:p w:rsidR="00DC2EAA" w:rsidRPr="00DC2EAA" w:rsidRDefault="00DC2EAA" w:rsidP="00DC2EAA">
      <w:pPr>
        <w:pStyle w:val="ListeParagraf"/>
        <w:tabs>
          <w:tab w:val="left" w:pos="2340"/>
        </w:tabs>
        <w:ind w:left="0"/>
        <w:jc w:val="both"/>
        <w:rPr>
          <w:sz w:val="24"/>
          <w:szCs w:val="24"/>
        </w:rPr>
      </w:pPr>
    </w:p>
    <w:p w:rsidR="005542F2" w:rsidRDefault="005542F2" w:rsidP="00316617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Alternatif pazarlardan Amerika ve Afri</w:t>
      </w:r>
      <w:r w:rsidR="00DC2EAA">
        <w:rPr>
          <w:sz w:val="24"/>
          <w:szCs w:val="24"/>
        </w:rPr>
        <w:t>ka ülkelerine yönelik yüksek oranlarda artışlar devam etmektedir</w:t>
      </w:r>
      <w:r>
        <w:rPr>
          <w:sz w:val="24"/>
          <w:szCs w:val="24"/>
        </w:rPr>
        <w:t xml:space="preserve">. </w:t>
      </w:r>
      <w:r w:rsidR="000418E8">
        <w:rPr>
          <w:sz w:val="24"/>
          <w:szCs w:val="24"/>
        </w:rPr>
        <w:t xml:space="preserve">Diğer taraftan </w:t>
      </w:r>
      <w:r w:rsidR="006F1EFB">
        <w:rPr>
          <w:sz w:val="24"/>
          <w:szCs w:val="24"/>
        </w:rPr>
        <w:t>Ortadoğu ülkelerinden sonra diğer alternatif pazarlara yönelik de düşüşler görülmektedir.</w:t>
      </w:r>
    </w:p>
    <w:p w:rsidR="00316617" w:rsidRPr="00316617" w:rsidRDefault="00316617" w:rsidP="00316617">
      <w:pPr>
        <w:pStyle w:val="ListeParagraf"/>
        <w:rPr>
          <w:sz w:val="24"/>
          <w:szCs w:val="24"/>
        </w:rPr>
      </w:pPr>
    </w:p>
    <w:p w:rsidR="00FA7CEC" w:rsidRPr="005542F2" w:rsidRDefault="00DC2EAA" w:rsidP="00316617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Yılın üçte biri geride kalırken </w:t>
      </w:r>
      <w:proofErr w:type="gramStart"/>
      <w:r>
        <w:rPr>
          <w:b/>
          <w:sz w:val="24"/>
          <w:szCs w:val="24"/>
        </w:rPr>
        <w:t>6.9</w:t>
      </w:r>
      <w:proofErr w:type="gramEnd"/>
      <w:r w:rsidR="006F1EFB">
        <w:rPr>
          <w:b/>
          <w:sz w:val="24"/>
          <w:szCs w:val="24"/>
        </w:rPr>
        <w:t xml:space="preserve"> milyar </w:t>
      </w:r>
      <w:proofErr w:type="spellStart"/>
      <w:r>
        <w:rPr>
          <w:b/>
          <w:sz w:val="24"/>
          <w:szCs w:val="24"/>
        </w:rPr>
        <w:t>USD’lik</w:t>
      </w:r>
      <w:proofErr w:type="spellEnd"/>
      <w:r>
        <w:rPr>
          <w:b/>
          <w:sz w:val="24"/>
          <w:szCs w:val="24"/>
        </w:rPr>
        <w:t xml:space="preserve"> ihracata ulaşılmıştır, yılsonu için belirlenen 20 milyar </w:t>
      </w:r>
      <w:proofErr w:type="spellStart"/>
      <w:r>
        <w:rPr>
          <w:b/>
          <w:sz w:val="24"/>
          <w:szCs w:val="24"/>
        </w:rPr>
        <w:t>USD’lik</w:t>
      </w:r>
      <w:proofErr w:type="spellEnd"/>
      <w:r>
        <w:rPr>
          <w:b/>
          <w:sz w:val="24"/>
          <w:szCs w:val="24"/>
        </w:rPr>
        <w:t xml:space="preserve"> ihracat hedefinde sapma yoktur.</w:t>
      </w:r>
    </w:p>
    <w:p w:rsidR="002848C6" w:rsidRDefault="002848C6" w:rsidP="002A0810">
      <w:pPr>
        <w:tabs>
          <w:tab w:val="left" w:pos="2340"/>
        </w:tabs>
        <w:jc w:val="both"/>
        <w:rPr>
          <w:sz w:val="24"/>
          <w:szCs w:val="24"/>
        </w:rPr>
      </w:pPr>
    </w:p>
    <w:p w:rsidR="002848C6" w:rsidRDefault="002848C6" w:rsidP="002A0810">
      <w:pPr>
        <w:tabs>
          <w:tab w:val="left" w:pos="2340"/>
        </w:tabs>
        <w:jc w:val="both"/>
        <w:rPr>
          <w:sz w:val="24"/>
          <w:szCs w:val="24"/>
        </w:rPr>
      </w:pPr>
    </w:p>
    <w:p w:rsidR="002848C6" w:rsidRDefault="002848C6" w:rsidP="002A0810">
      <w:pPr>
        <w:tabs>
          <w:tab w:val="left" w:pos="2340"/>
        </w:tabs>
        <w:jc w:val="both"/>
        <w:rPr>
          <w:sz w:val="24"/>
          <w:szCs w:val="24"/>
        </w:rPr>
      </w:pPr>
    </w:p>
    <w:p w:rsidR="002848C6" w:rsidRDefault="002848C6" w:rsidP="002A0810">
      <w:pPr>
        <w:tabs>
          <w:tab w:val="left" w:pos="2340"/>
        </w:tabs>
        <w:jc w:val="both"/>
        <w:rPr>
          <w:sz w:val="24"/>
          <w:szCs w:val="24"/>
        </w:rPr>
      </w:pPr>
    </w:p>
    <w:p w:rsidR="002848C6" w:rsidRDefault="002848C6" w:rsidP="002A0810">
      <w:pPr>
        <w:tabs>
          <w:tab w:val="left" w:pos="2340"/>
        </w:tabs>
        <w:jc w:val="both"/>
        <w:rPr>
          <w:sz w:val="24"/>
          <w:szCs w:val="24"/>
        </w:rPr>
      </w:pPr>
    </w:p>
    <w:p w:rsidR="002848C6" w:rsidRDefault="002848C6" w:rsidP="002A0810">
      <w:pPr>
        <w:tabs>
          <w:tab w:val="left" w:pos="2340"/>
        </w:tabs>
        <w:jc w:val="both"/>
        <w:rPr>
          <w:sz w:val="24"/>
          <w:szCs w:val="24"/>
        </w:rPr>
      </w:pPr>
    </w:p>
    <w:p w:rsidR="002848C6" w:rsidRDefault="002848C6" w:rsidP="002A0810">
      <w:pPr>
        <w:tabs>
          <w:tab w:val="left" w:pos="2340"/>
        </w:tabs>
        <w:jc w:val="both"/>
        <w:rPr>
          <w:sz w:val="24"/>
          <w:szCs w:val="24"/>
        </w:rPr>
      </w:pPr>
    </w:p>
    <w:p w:rsidR="00287D93" w:rsidRDefault="00287D93" w:rsidP="002A0810">
      <w:pPr>
        <w:tabs>
          <w:tab w:val="left" w:pos="2340"/>
        </w:tabs>
        <w:jc w:val="both"/>
        <w:rPr>
          <w:sz w:val="24"/>
          <w:szCs w:val="24"/>
        </w:rPr>
      </w:pPr>
    </w:p>
    <w:p w:rsidR="00287D93" w:rsidRDefault="00287D93" w:rsidP="002A0810">
      <w:pPr>
        <w:tabs>
          <w:tab w:val="left" w:pos="2340"/>
        </w:tabs>
        <w:jc w:val="both"/>
        <w:rPr>
          <w:sz w:val="24"/>
          <w:szCs w:val="24"/>
        </w:rPr>
      </w:pPr>
    </w:p>
    <w:p w:rsidR="00C454A7" w:rsidRDefault="00C454A7" w:rsidP="00B80F24">
      <w:pPr>
        <w:rPr>
          <w:b/>
          <w:snapToGrid w:val="0"/>
          <w:color w:val="0000FF"/>
          <w:sz w:val="24"/>
        </w:rPr>
      </w:pPr>
    </w:p>
    <w:p w:rsidR="008D6D23" w:rsidRDefault="003A0926" w:rsidP="00C454A7">
      <w:pPr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lastRenderedPageBreak/>
        <w:t xml:space="preserve">   </w:t>
      </w:r>
      <w:r w:rsidR="00676994" w:rsidRPr="005C7AAE">
        <w:rPr>
          <w:b/>
          <w:snapToGrid w:val="0"/>
          <w:color w:val="0000FF"/>
          <w:sz w:val="24"/>
        </w:rPr>
        <w:t>TÜRKİYE</w:t>
      </w:r>
      <w:r w:rsidR="007B356E">
        <w:rPr>
          <w:b/>
          <w:snapToGrid w:val="0"/>
          <w:color w:val="0000FF"/>
          <w:sz w:val="24"/>
        </w:rPr>
        <w:t xml:space="preserve"> </w:t>
      </w:r>
      <w:r w:rsidR="00676994">
        <w:rPr>
          <w:b/>
          <w:snapToGrid w:val="0"/>
          <w:color w:val="0000FF"/>
          <w:sz w:val="24"/>
        </w:rPr>
        <w:t xml:space="preserve">OTOMOTİV SEKTÖRÜ </w:t>
      </w:r>
      <w:r w:rsidR="0022721D">
        <w:rPr>
          <w:b/>
          <w:snapToGrid w:val="0"/>
          <w:color w:val="0000FF"/>
          <w:sz w:val="24"/>
        </w:rPr>
        <w:t>NİSAN</w:t>
      </w:r>
      <w:r w:rsidR="002539F6">
        <w:rPr>
          <w:b/>
          <w:snapToGrid w:val="0"/>
          <w:color w:val="0000FF"/>
          <w:sz w:val="24"/>
        </w:rPr>
        <w:t xml:space="preserve"> 2013</w:t>
      </w:r>
      <w:r w:rsidR="00676994">
        <w:rPr>
          <w:b/>
          <w:snapToGrid w:val="0"/>
          <w:color w:val="0000FF"/>
          <w:sz w:val="24"/>
        </w:rPr>
        <w:t xml:space="preserve"> AYLIK MAL</w:t>
      </w:r>
      <w:r w:rsidR="007F4E2F">
        <w:rPr>
          <w:b/>
          <w:snapToGrid w:val="0"/>
          <w:color w:val="0000FF"/>
          <w:sz w:val="24"/>
        </w:rPr>
        <w:t xml:space="preserve"> GRUBU</w:t>
      </w:r>
      <w:r w:rsidR="00676994">
        <w:rPr>
          <w:b/>
          <w:snapToGrid w:val="0"/>
          <w:color w:val="0000FF"/>
          <w:sz w:val="24"/>
        </w:rPr>
        <w:t xml:space="preserve"> İHRACATI</w:t>
      </w: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580"/>
        <w:gridCol w:w="1677"/>
        <w:gridCol w:w="1053"/>
        <w:gridCol w:w="1014"/>
      </w:tblGrid>
      <w:tr w:rsidR="008D6D23" w:rsidRPr="00E1329E" w:rsidTr="00D850FE">
        <w:trPr>
          <w:trHeight w:val="270"/>
        </w:trPr>
        <w:tc>
          <w:tcPr>
            <w:tcW w:w="4681" w:type="dxa"/>
          </w:tcPr>
          <w:p w:rsidR="008D6D23" w:rsidRPr="00E1329E" w:rsidRDefault="008D6D23" w:rsidP="008D6D23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</w:p>
        </w:tc>
        <w:tc>
          <w:tcPr>
            <w:tcW w:w="1580" w:type="dxa"/>
          </w:tcPr>
          <w:p w:rsidR="008D6D23" w:rsidRPr="00E1329E" w:rsidRDefault="008D6D23" w:rsidP="008D6D23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 w:rsidRPr="00E1329E">
              <w:rPr>
                <w:b/>
                <w:snapToGrid w:val="0"/>
                <w:color w:val="000000" w:themeColor="text1"/>
                <w:sz w:val="24"/>
              </w:rPr>
              <w:t>201</w:t>
            </w:r>
            <w:r w:rsidR="002539F6">
              <w:rPr>
                <w:b/>
                <w:snapToGrid w:val="0"/>
                <w:color w:val="000000" w:themeColor="text1"/>
                <w:sz w:val="24"/>
              </w:rPr>
              <w:t>2</w:t>
            </w:r>
          </w:p>
        </w:tc>
        <w:tc>
          <w:tcPr>
            <w:tcW w:w="1677" w:type="dxa"/>
          </w:tcPr>
          <w:p w:rsidR="008D6D23" w:rsidRPr="00E1329E" w:rsidRDefault="008D6D23" w:rsidP="002539F6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 w:rsidRPr="00E1329E">
              <w:rPr>
                <w:b/>
                <w:snapToGrid w:val="0"/>
                <w:color w:val="000000" w:themeColor="text1"/>
                <w:sz w:val="24"/>
              </w:rPr>
              <w:t>201</w:t>
            </w:r>
            <w:r w:rsidR="002539F6">
              <w:rPr>
                <w:b/>
                <w:snapToGrid w:val="0"/>
                <w:color w:val="000000" w:themeColor="text1"/>
                <w:sz w:val="24"/>
              </w:rPr>
              <w:t>3</w:t>
            </w:r>
          </w:p>
        </w:tc>
        <w:tc>
          <w:tcPr>
            <w:tcW w:w="1053" w:type="dxa"/>
          </w:tcPr>
          <w:p w:rsidR="008D6D23" w:rsidRPr="00E1329E" w:rsidRDefault="00DA2C86" w:rsidP="002539F6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>
              <w:rPr>
                <w:b/>
                <w:snapToGrid w:val="0"/>
                <w:color w:val="000000" w:themeColor="text1"/>
                <w:sz w:val="24"/>
              </w:rPr>
              <w:t>1</w:t>
            </w:r>
            <w:r w:rsidR="002539F6">
              <w:rPr>
                <w:b/>
                <w:snapToGrid w:val="0"/>
                <w:color w:val="000000" w:themeColor="text1"/>
                <w:sz w:val="24"/>
              </w:rPr>
              <w:t>3</w:t>
            </w:r>
            <w:r w:rsidR="008D6D23" w:rsidRPr="00E1329E">
              <w:rPr>
                <w:b/>
                <w:snapToGrid w:val="0"/>
                <w:color w:val="000000" w:themeColor="text1"/>
                <w:sz w:val="24"/>
              </w:rPr>
              <w:t>/1</w:t>
            </w:r>
            <w:r w:rsidR="002539F6">
              <w:rPr>
                <w:b/>
                <w:snapToGrid w:val="0"/>
                <w:color w:val="000000" w:themeColor="text1"/>
                <w:sz w:val="24"/>
              </w:rPr>
              <w:t>2</w:t>
            </w:r>
          </w:p>
        </w:tc>
        <w:tc>
          <w:tcPr>
            <w:tcW w:w="1014" w:type="dxa"/>
          </w:tcPr>
          <w:p w:rsidR="008D6D23" w:rsidRPr="00E1329E" w:rsidRDefault="008D6D23" w:rsidP="008D6D23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 w:rsidRPr="00E1329E">
              <w:rPr>
                <w:b/>
                <w:snapToGrid w:val="0"/>
                <w:color w:val="000000" w:themeColor="text1"/>
                <w:sz w:val="24"/>
              </w:rPr>
              <w:t>201</w:t>
            </w:r>
            <w:r w:rsidR="002539F6">
              <w:rPr>
                <w:b/>
                <w:snapToGrid w:val="0"/>
                <w:color w:val="000000" w:themeColor="text1"/>
                <w:sz w:val="24"/>
              </w:rPr>
              <w:t>3</w:t>
            </w:r>
          </w:p>
        </w:tc>
      </w:tr>
      <w:tr w:rsidR="007F4E2F" w:rsidRPr="00E1329E" w:rsidTr="008D6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7F4E2F" w:rsidP="00F5180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7F4E2F" w:rsidP="00C04D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7F4E2F" w:rsidP="00C04D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8D6D23" w:rsidP="00C04D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>DEĞ.%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F" w:rsidRPr="00E1329E" w:rsidRDefault="007F4E2F" w:rsidP="00C04D74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</w:rPr>
            </w:pPr>
            <w:r w:rsidRPr="00E1329E">
              <w:rPr>
                <w:rFonts w:ascii="Arial TUR" w:hAnsi="Arial TUR" w:cs="Arial TUR"/>
                <w:b/>
                <w:bCs/>
                <w:color w:val="000000" w:themeColor="text1"/>
              </w:rPr>
              <w:t>PAY%</w:t>
            </w:r>
          </w:p>
        </w:tc>
      </w:tr>
      <w:tr w:rsidR="0022721D" w:rsidRPr="00E1329E" w:rsidTr="00E13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E1329E" w:rsidRDefault="0022721D" w:rsidP="00D850FE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Otomotiv Yan Sanayi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695.977.968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741.755.283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22721D" w:rsidRPr="00E1329E" w:rsidTr="00E13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E1329E" w:rsidRDefault="0022721D" w:rsidP="00C04D74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Binek Otomobiller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541.077.451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597.629.436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22721D" w:rsidRPr="00E1329E" w:rsidTr="00E13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E1329E" w:rsidRDefault="0022721D" w:rsidP="00D850FE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Eşya Taşımaya Mahsus Motorlu Taşıtlar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264.405.922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297.612.904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22721D" w:rsidRPr="00E1329E" w:rsidTr="00E13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E1329E" w:rsidRDefault="0022721D" w:rsidP="00D850FE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Otobüs Minibüs Midibüs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101.172.095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95.930.772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2721D" w:rsidRPr="00E1329E" w:rsidTr="00281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E1329E" w:rsidRDefault="0022721D" w:rsidP="00C04D74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27.567.442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36.891.626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D" w:rsidRPr="0022721D" w:rsidRDefault="0022721D" w:rsidP="00227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1D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2721D" w:rsidRPr="00E1329E" w:rsidTr="00E13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E70286" w:rsidRDefault="0022721D" w:rsidP="00C04D74">
            <w:pPr>
              <w:rPr>
                <w:rFonts w:ascii="Arial TUR" w:hAnsi="Arial TUR" w:cs="Arial TUR"/>
                <w:b/>
                <w:color w:val="000000" w:themeColor="text1"/>
              </w:rPr>
            </w:pPr>
            <w:r w:rsidRPr="00E70286">
              <w:rPr>
                <w:rFonts w:ascii="Arial TUR" w:hAnsi="Arial TUR" w:cs="Arial TUR"/>
                <w:b/>
                <w:color w:val="000000" w:themeColor="text1"/>
              </w:rPr>
              <w:t> TOPLAM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721D">
              <w:rPr>
                <w:b/>
                <w:color w:val="000000" w:themeColor="text1"/>
                <w:sz w:val="24"/>
                <w:szCs w:val="24"/>
              </w:rPr>
              <w:t>1.630.200.879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721D">
              <w:rPr>
                <w:b/>
                <w:color w:val="000000" w:themeColor="text1"/>
                <w:sz w:val="24"/>
                <w:szCs w:val="24"/>
              </w:rPr>
              <w:t>1.769.820.021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1D" w:rsidRPr="0022721D" w:rsidRDefault="0022721D" w:rsidP="002272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D" w:rsidRPr="0022721D" w:rsidRDefault="0022721D" w:rsidP="002272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721D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7F4E2F" w:rsidRDefault="007F4E2F" w:rsidP="007F4E2F">
      <w:pPr>
        <w:rPr>
          <w:b/>
          <w:snapToGrid w:val="0"/>
          <w:sz w:val="24"/>
        </w:rPr>
      </w:pPr>
    </w:p>
    <w:p w:rsidR="007F4E2F" w:rsidRPr="00F40A80" w:rsidRDefault="007F4E2F" w:rsidP="00F40A80">
      <w:pPr>
        <w:pStyle w:val="ListeParagraf"/>
        <w:numPr>
          <w:ilvl w:val="0"/>
          <w:numId w:val="13"/>
        </w:numPr>
        <w:ind w:left="0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Otomoti</w:t>
      </w:r>
      <w:r w:rsidR="0022721D">
        <w:rPr>
          <w:b/>
          <w:snapToGrid w:val="0"/>
          <w:sz w:val="24"/>
        </w:rPr>
        <w:t>v Yan Sanayi ihracatı Nisan</w:t>
      </w:r>
      <w:r w:rsidR="0075086A" w:rsidRPr="00F40A80">
        <w:rPr>
          <w:b/>
          <w:snapToGrid w:val="0"/>
          <w:sz w:val="24"/>
        </w:rPr>
        <w:t xml:space="preserve"> 201</w:t>
      </w:r>
      <w:r w:rsidR="002539F6">
        <w:rPr>
          <w:b/>
          <w:snapToGrid w:val="0"/>
          <w:sz w:val="24"/>
        </w:rPr>
        <w:t>3’t</w:t>
      </w:r>
      <w:r w:rsidR="00B310F2" w:rsidRPr="00F40A80">
        <w:rPr>
          <w:b/>
          <w:snapToGrid w:val="0"/>
          <w:sz w:val="24"/>
        </w:rPr>
        <w:t xml:space="preserve">e % </w:t>
      </w:r>
      <w:r w:rsidR="0022721D">
        <w:rPr>
          <w:b/>
          <w:snapToGrid w:val="0"/>
          <w:sz w:val="24"/>
        </w:rPr>
        <w:t>7</w:t>
      </w:r>
      <w:r w:rsidR="00D71BEB">
        <w:rPr>
          <w:b/>
          <w:snapToGrid w:val="0"/>
          <w:sz w:val="24"/>
        </w:rPr>
        <w:t xml:space="preserve"> </w:t>
      </w:r>
      <w:r w:rsidR="0022721D">
        <w:rPr>
          <w:b/>
          <w:snapToGrid w:val="0"/>
          <w:sz w:val="24"/>
        </w:rPr>
        <w:t>artarak</w:t>
      </w:r>
      <w:r w:rsidR="00C04D74" w:rsidRPr="00F40A80">
        <w:rPr>
          <w:b/>
          <w:snapToGrid w:val="0"/>
          <w:sz w:val="24"/>
        </w:rPr>
        <w:t xml:space="preserve"> </w:t>
      </w:r>
      <w:r w:rsidR="0022721D">
        <w:rPr>
          <w:b/>
          <w:snapToGrid w:val="0"/>
          <w:sz w:val="24"/>
        </w:rPr>
        <w:t>742</w:t>
      </w:r>
      <w:r w:rsidR="00B310F2" w:rsidRPr="00F40A80">
        <w:rPr>
          <w:b/>
          <w:snapToGrid w:val="0"/>
          <w:sz w:val="24"/>
        </w:rPr>
        <w:t xml:space="preserve"> </w:t>
      </w:r>
      <w:r w:rsidRPr="00F40A80">
        <w:rPr>
          <w:b/>
          <w:snapToGrid w:val="0"/>
          <w:sz w:val="24"/>
        </w:rPr>
        <w:t>mily</w:t>
      </w:r>
      <w:r w:rsidR="00B310F2" w:rsidRPr="00F40A80">
        <w:rPr>
          <w:b/>
          <w:snapToGrid w:val="0"/>
          <w:sz w:val="24"/>
        </w:rPr>
        <w:t>on</w:t>
      </w:r>
      <w:r w:rsidR="000A3309" w:rsidRPr="00F40A80">
        <w:rPr>
          <w:b/>
          <w:snapToGrid w:val="0"/>
          <w:sz w:val="24"/>
        </w:rPr>
        <w:t xml:space="preserve"> USD olmuştur</w:t>
      </w:r>
      <w:r w:rsidRPr="00F40A80">
        <w:rPr>
          <w:b/>
          <w:snapToGrid w:val="0"/>
          <w:sz w:val="24"/>
        </w:rPr>
        <w:t>.</w:t>
      </w:r>
    </w:p>
    <w:p w:rsidR="00B310F2" w:rsidRDefault="00B310F2" w:rsidP="00F40A80">
      <w:pPr>
        <w:rPr>
          <w:b/>
          <w:snapToGrid w:val="0"/>
          <w:sz w:val="24"/>
        </w:rPr>
      </w:pPr>
    </w:p>
    <w:p w:rsidR="00B310F2" w:rsidRPr="00F40A80" w:rsidRDefault="00B310F2" w:rsidP="00F40A80">
      <w:pPr>
        <w:pStyle w:val="ListeParagraf"/>
        <w:numPr>
          <w:ilvl w:val="0"/>
          <w:numId w:val="13"/>
        </w:numPr>
        <w:ind w:left="0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Binek Otomobil ihrac</w:t>
      </w:r>
      <w:r w:rsidR="0022721D">
        <w:rPr>
          <w:b/>
          <w:snapToGrid w:val="0"/>
          <w:sz w:val="24"/>
        </w:rPr>
        <w:t>atı %10</w:t>
      </w:r>
      <w:r w:rsidR="000A3309" w:rsidRPr="00F40A80">
        <w:rPr>
          <w:b/>
          <w:snapToGrid w:val="0"/>
          <w:sz w:val="24"/>
        </w:rPr>
        <w:t xml:space="preserve"> </w:t>
      </w:r>
      <w:r w:rsidR="003A0926">
        <w:rPr>
          <w:b/>
          <w:snapToGrid w:val="0"/>
          <w:sz w:val="24"/>
        </w:rPr>
        <w:t>artarak</w:t>
      </w:r>
      <w:r w:rsidR="00703206" w:rsidRPr="00F40A80">
        <w:rPr>
          <w:b/>
          <w:snapToGrid w:val="0"/>
          <w:sz w:val="24"/>
        </w:rPr>
        <w:t xml:space="preserve"> </w:t>
      </w:r>
      <w:r w:rsidR="0022721D">
        <w:rPr>
          <w:b/>
          <w:snapToGrid w:val="0"/>
          <w:sz w:val="24"/>
        </w:rPr>
        <w:t>598</w:t>
      </w:r>
      <w:r w:rsidR="002539F6">
        <w:rPr>
          <w:b/>
          <w:snapToGrid w:val="0"/>
          <w:sz w:val="24"/>
        </w:rPr>
        <w:t xml:space="preserve"> </w:t>
      </w:r>
      <w:r w:rsidR="0012678D" w:rsidRPr="00F40A80">
        <w:rPr>
          <w:b/>
          <w:snapToGrid w:val="0"/>
          <w:sz w:val="24"/>
        </w:rPr>
        <w:t>milyon USD</w:t>
      </w:r>
      <w:r w:rsidRPr="00F40A80">
        <w:rPr>
          <w:b/>
          <w:snapToGrid w:val="0"/>
          <w:sz w:val="24"/>
        </w:rPr>
        <w:t xml:space="preserve"> olarak gerçekleşmiştir.</w:t>
      </w:r>
    </w:p>
    <w:p w:rsidR="007F4E2F" w:rsidRDefault="007F4E2F" w:rsidP="00F40A80">
      <w:pPr>
        <w:rPr>
          <w:b/>
          <w:snapToGrid w:val="0"/>
          <w:sz w:val="24"/>
        </w:rPr>
      </w:pPr>
    </w:p>
    <w:p w:rsidR="00B310F2" w:rsidRPr="00F40A80" w:rsidRDefault="000A3309" w:rsidP="00F40A80">
      <w:pPr>
        <w:pStyle w:val="ListeParagraf"/>
        <w:numPr>
          <w:ilvl w:val="0"/>
          <w:numId w:val="13"/>
        </w:numPr>
        <w:ind w:left="0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Eşya Taşımaya Mahsus Motorlu Taşıtlar ih</w:t>
      </w:r>
      <w:r w:rsidR="0022721D">
        <w:rPr>
          <w:b/>
          <w:snapToGrid w:val="0"/>
          <w:sz w:val="24"/>
        </w:rPr>
        <w:t>racatı %13 artmış</w:t>
      </w:r>
      <w:r w:rsidR="002819EC">
        <w:rPr>
          <w:b/>
          <w:snapToGrid w:val="0"/>
          <w:sz w:val="24"/>
        </w:rPr>
        <w:t>,</w:t>
      </w:r>
      <w:r w:rsidRPr="00F40A80">
        <w:rPr>
          <w:b/>
          <w:snapToGrid w:val="0"/>
          <w:sz w:val="24"/>
        </w:rPr>
        <w:t xml:space="preserve"> Otobüs-Minibüs-Midibüs ihracatı </w:t>
      </w:r>
      <w:r w:rsidR="0022721D">
        <w:rPr>
          <w:b/>
          <w:snapToGrid w:val="0"/>
          <w:sz w:val="24"/>
        </w:rPr>
        <w:t>%5</w:t>
      </w:r>
      <w:r w:rsidR="00D71BEB">
        <w:rPr>
          <w:b/>
          <w:snapToGrid w:val="0"/>
          <w:sz w:val="24"/>
        </w:rPr>
        <w:t xml:space="preserve"> azalmıştır.</w:t>
      </w:r>
    </w:p>
    <w:p w:rsidR="0061414F" w:rsidRPr="000A3309" w:rsidRDefault="0061414F" w:rsidP="00F40A80">
      <w:pPr>
        <w:rPr>
          <w:b/>
          <w:snapToGrid w:val="0"/>
          <w:color w:val="FF0000"/>
          <w:sz w:val="24"/>
        </w:rPr>
      </w:pPr>
    </w:p>
    <w:p w:rsidR="00E3353B" w:rsidRDefault="000314D9" w:rsidP="00F40A80">
      <w:pPr>
        <w:pStyle w:val="ListeParagraf"/>
        <w:numPr>
          <w:ilvl w:val="0"/>
          <w:numId w:val="13"/>
        </w:numPr>
        <w:ind w:left="0"/>
        <w:jc w:val="both"/>
        <w:rPr>
          <w:snapToGrid w:val="0"/>
          <w:sz w:val="24"/>
        </w:rPr>
      </w:pPr>
      <w:r w:rsidRPr="00F40846">
        <w:rPr>
          <w:snapToGrid w:val="0"/>
          <w:sz w:val="24"/>
        </w:rPr>
        <w:t xml:space="preserve">Otomotiv yan sanayinde </w:t>
      </w:r>
      <w:r w:rsidR="00AE7B98">
        <w:rPr>
          <w:snapToGrid w:val="0"/>
          <w:sz w:val="24"/>
        </w:rPr>
        <w:t>en fazla ihracat yapılan ilk on ülkenin sekizine yönelik ihracatta artış yaşanmıştır. Bu ülkeler arasında yer alan Fransa’ya yönelik yan sanayi ihracatı %43, Romanya’ya yönelik yan sanayi ihracatı %29, İspanya’ya yönelik yan sanayi ihracatı da %41 artmıştır.</w:t>
      </w:r>
    </w:p>
    <w:p w:rsidR="00F40846" w:rsidRPr="00F40846" w:rsidRDefault="00F40846" w:rsidP="00F40846">
      <w:pPr>
        <w:pStyle w:val="ListeParagraf"/>
        <w:ind w:left="0"/>
        <w:jc w:val="both"/>
        <w:rPr>
          <w:snapToGrid w:val="0"/>
          <w:sz w:val="24"/>
        </w:rPr>
      </w:pPr>
    </w:p>
    <w:p w:rsidR="0028334C" w:rsidRDefault="00A2516A" w:rsidP="0028334C">
      <w:pPr>
        <w:pStyle w:val="ListeParagraf"/>
        <w:numPr>
          <w:ilvl w:val="0"/>
          <w:numId w:val="13"/>
        </w:numPr>
        <w:ind w:left="0"/>
        <w:jc w:val="both"/>
        <w:rPr>
          <w:snapToGrid w:val="0"/>
          <w:sz w:val="24"/>
        </w:rPr>
      </w:pPr>
      <w:r w:rsidRPr="005B022D">
        <w:rPr>
          <w:snapToGrid w:val="0"/>
          <w:sz w:val="24"/>
        </w:rPr>
        <w:t xml:space="preserve">Binek otomobillerde </w:t>
      </w:r>
      <w:r w:rsidR="0024472B">
        <w:rPr>
          <w:snapToGrid w:val="0"/>
          <w:sz w:val="24"/>
        </w:rPr>
        <w:t>de en fazla ihracat yapılan ilk beş ülkenin dördüne yönelik ihracatta artış yaşanmıştır. Bu ülkeler arasında Fransa’ya %30, Birleşik Devletlere %35, Cezayir’e %82 ihracat artışı yaşanmıştır. Cezayir, binek otomobillerde en fazla ihracat yapılan üçüncü ülke konumuna yükselirken, Nisan ayında Birleşik Krallığa yönelik binek otomobil ihracatı da %194 artmıştır.</w:t>
      </w:r>
    </w:p>
    <w:p w:rsidR="00C454A7" w:rsidRPr="00C454A7" w:rsidRDefault="00C454A7" w:rsidP="00C454A7">
      <w:pPr>
        <w:pStyle w:val="ListeParagraf"/>
        <w:rPr>
          <w:snapToGrid w:val="0"/>
          <w:sz w:val="24"/>
        </w:rPr>
      </w:pPr>
    </w:p>
    <w:p w:rsidR="00DC30C4" w:rsidRPr="0024472B" w:rsidRDefault="00F40846" w:rsidP="00CC7B35">
      <w:pPr>
        <w:pStyle w:val="ListeParagraf"/>
        <w:numPr>
          <w:ilvl w:val="0"/>
          <w:numId w:val="13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Eşya Taşımaya Mahsus Mo</w:t>
      </w:r>
      <w:r w:rsidR="008D46C4">
        <w:rPr>
          <w:snapToGrid w:val="0"/>
          <w:sz w:val="24"/>
        </w:rPr>
        <w:t xml:space="preserve">torlu Taşıtlarda </w:t>
      </w:r>
      <w:r w:rsidR="0024472B">
        <w:rPr>
          <w:snapToGrid w:val="0"/>
          <w:sz w:val="24"/>
        </w:rPr>
        <w:t>da en fazla ihracat yapılan ilk üç ülkenin tamamına yönelik ihracatta artış yaşanmıştır. Bu mal grubunda en fazla ihracat yapılan ülke olan Birleşik Krallığa yönelik ihracat %108 artmıştır. Nisan 2013’te Belçika’ya yönelik eşya taşımaya mahsus motorlu taşıtlar ihracatı %27 artarken, Fransa’ya yönelik ihracat %36 azalmıştır.</w:t>
      </w:r>
    </w:p>
    <w:p w:rsidR="007F4E2F" w:rsidRDefault="00676994" w:rsidP="007F4E2F">
      <w:pPr>
        <w:jc w:val="center"/>
        <w:rPr>
          <w:b/>
          <w:snapToGrid w:val="0"/>
          <w:color w:val="0000FF"/>
          <w:sz w:val="24"/>
        </w:rPr>
      </w:pPr>
      <w:r w:rsidRPr="005C7AAE">
        <w:rPr>
          <w:b/>
          <w:snapToGrid w:val="0"/>
          <w:color w:val="0000FF"/>
          <w:sz w:val="24"/>
        </w:rPr>
        <w:t>TÜRKİYE</w:t>
      </w:r>
      <w:r w:rsidR="007B356E">
        <w:rPr>
          <w:b/>
          <w:snapToGrid w:val="0"/>
          <w:color w:val="0000FF"/>
          <w:sz w:val="24"/>
        </w:rPr>
        <w:t xml:space="preserve"> </w:t>
      </w:r>
      <w:r>
        <w:rPr>
          <w:b/>
          <w:snapToGrid w:val="0"/>
          <w:color w:val="0000FF"/>
          <w:sz w:val="24"/>
        </w:rPr>
        <w:t xml:space="preserve">OTOMOTİV SEKTÖRÜ </w:t>
      </w:r>
      <w:r w:rsidR="0024472B">
        <w:rPr>
          <w:b/>
          <w:snapToGrid w:val="0"/>
          <w:color w:val="0000FF"/>
          <w:sz w:val="24"/>
        </w:rPr>
        <w:t>NİSAN</w:t>
      </w:r>
      <w:r w:rsidR="00460AE3">
        <w:rPr>
          <w:b/>
          <w:snapToGrid w:val="0"/>
          <w:color w:val="0000FF"/>
          <w:sz w:val="24"/>
        </w:rPr>
        <w:t xml:space="preserve"> 2013</w:t>
      </w:r>
      <w:r w:rsidR="007F4E2F">
        <w:rPr>
          <w:b/>
          <w:snapToGrid w:val="0"/>
          <w:color w:val="0000FF"/>
          <w:sz w:val="24"/>
        </w:rPr>
        <w:t xml:space="preserve"> </w:t>
      </w:r>
      <w:r>
        <w:rPr>
          <w:b/>
          <w:snapToGrid w:val="0"/>
          <w:color w:val="0000FF"/>
          <w:sz w:val="24"/>
        </w:rPr>
        <w:t xml:space="preserve">AYLIK </w:t>
      </w:r>
      <w:r w:rsidR="007F4E2F">
        <w:rPr>
          <w:b/>
          <w:snapToGrid w:val="0"/>
          <w:color w:val="0000FF"/>
          <w:sz w:val="24"/>
        </w:rPr>
        <w:t>ÜLKE</w:t>
      </w:r>
      <w:r>
        <w:rPr>
          <w:b/>
          <w:snapToGrid w:val="0"/>
          <w:color w:val="0000FF"/>
          <w:sz w:val="24"/>
        </w:rPr>
        <w:t xml:space="preserve"> İHRACATI</w:t>
      </w:r>
    </w:p>
    <w:p w:rsidR="007F4E2F" w:rsidRDefault="007F4E2F" w:rsidP="007F4E2F">
      <w:pPr>
        <w:jc w:val="center"/>
        <w:rPr>
          <w:b/>
          <w:snapToGrid w:val="0"/>
          <w:color w:val="0000FF"/>
          <w:sz w:val="24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487602" w:rsidRPr="005C7AAE" w:rsidTr="00D22F46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Ü</w:t>
            </w:r>
            <w:r>
              <w:rPr>
                <w:b/>
                <w:bCs/>
                <w:sz w:val="22"/>
                <w:szCs w:val="22"/>
              </w:rPr>
              <w:t>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5C67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2A0E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5C675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5C675B" w:rsidP="005C67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487602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201</w:t>
            </w:r>
            <w:r w:rsidR="005C675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87602" w:rsidRPr="005C7AAE" w:rsidTr="00D22F46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D5332C" w:rsidRDefault="00487602" w:rsidP="00D22F46">
            <w:pPr>
              <w:rPr>
                <w:b/>
                <w:bCs/>
                <w:sz w:val="24"/>
                <w:szCs w:val="24"/>
              </w:rPr>
            </w:pPr>
            <w:r w:rsidRPr="00D5332C">
              <w:rPr>
                <w:b/>
                <w:bCs/>
                <w:sz w:val="24"/>
                <w:szCs w:val="24"/>
              </w:rPr>
              <w:t>ARTIŞ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DEĞER(USD)</w:t>
            </w:r>
          </w:p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DEĞİŞİM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PAY%</w:t>
            </w:r>
          </w:p>
        </w:tc>
      </w:tr>
      <w:tr w:rsidR="00140311" w:rsidRPr="005C7AAE" w:rsidTr="000D568D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>
            <w:pPr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F</w:t>
            </w:r>
            <w:r>
              <w:rPr>
                <w:color w:val="000000" w:themeColor="text1"/>
                <w:sz w:val="24"/>
                <w:szCs w:val="24"/>
              </w:rPr>
              <w:t>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175.144.884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198.968.133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140311" w:rsidRPr="005C7AAE" w:rsidTr="000D568D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>
            <w:pPr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İ</w:t>
            </w:r>
            <w:r>
              <w:rPr>
                <w:color w:val="000000" w:themeColor="text1"/>
                <w:sz w:val="24"/>
                <w:szCs w:val="24"/>
              </w:rPr>
              <w:t>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140.016.148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157.674.610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140311" w:rsidRPr="005C7AAE" w:rsidTr="000D568D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Birleşik K</w:t>
            </w:r>
            <w:r w:rsidRPr="00140311">
              <w:rPr>
                <w:color w:val="000000" w:themeColor="text1"/>
                <w:sz w:val="24"/>
                <w:szCs w:val="24"/>
              </w:rPr>
              <w:t>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99.999.885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145.503.394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140311" w:rsidRPr="005C7AAE" w:rsidTr="000D568D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Birleşik D</w:t>
            </w:r>
            <w:r w:rsidRPr="00140311">
              <w:rPr>
                <w:color w:val="000000" w:themeColor="text1"/>
                <w:sz w:val="24"/>
                <w:szCs w:val="24"/>
              </w:rPr>
              <w:t>evletler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76.191.821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102.344.795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40311" w:rsidRPr="005C7AAE" w:rsidTr="000D568D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>
            <w:pPr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64.439.574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80.696.362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87602" w:rsidRPr="005C7AAE" w:rsidTr="00D22F46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474623" w:rsidRDefault="00487602" w:rsidP="00D22F46">
            <w:pPr>
              <w:rPr>
                <w:b/>
                <w:bCs/>
                <w:sz w:val="24"/>
                <w:szCs w:val="24"/>
              </w:rPr>
            </w:pPr>
            <w:r w:rsidRPr="00474623">
              <w:rPr>
                <w:b/>
                <w:bCs/>
                <w:sz w:val="24"/>
                <w:szCs w:val="24"/>
              </w:rPr>
              <w:t>AZALIŞ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4472B" w:rsidRPr="005C7AAE" w:rsidTr="000D568D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2B" w:rsidRPr="000D16C6" w:rsidRDefault="0024472B" w:rsidP="000D16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2B" w:rsidRPr="00140311" w:rsidRDefault="0024472B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263.751.281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2B" w:rsidRPr="00140311" w:rsidRDefault="0024472B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252.198.216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2B" w:rsidRPr="00140311" w:rsidRDefault="0024472B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2B" w:rsidRPr="00140311" w:rsidRDefault="0024472B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140311" w:rsidRPr="005C7AAE" w:rsidTr="000D568D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 xml:space="preserve">Rusya </w:t>
            </w:r>
            <w:r>
              <w:rPr>
                <w:color w:val="000000" w:themeColor="text1"/>
                <w:sz w:val="24"/>
                <w:szCs w:val="24"/>
              </w:rPr>
              <w:t>F</w:t>
            </w:r>
            <w:r w:rsidRPr="00140311">
              <w:rPr>
                <w:color w:val="000000" w:themeColor="text1"/>
                <w:sz w:val="24"/>
                <w:szCs w:val="24"/>
              </w:rPr>
              <w:t xml:space="preserve">ederasyonu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85.740.947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70.870.673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-17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40311" w:rsidRPr="005C7AAE" w:rsidTr="000D568D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>
            <w:pPr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68.168.971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66.620.761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40311" w:rsidRPr="005C7AAE" w:rsidTr="000D568D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>
            <w:pPr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Hollanda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41.015.095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33.304.703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40311" w:rsidRPr="005C7AAE" w:rsidTr="000D568D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>
            <w:pPr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İsveç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35.112.246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22.217.108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-3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11" w:rsidRPr="00140311" w:rsidRDefault="00140311" w:rsidP="0014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31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261FE" w:rsidRDefault="000261FE" w:rsidP="00561BD9">
      <w:pPr>
        <w:jc w:val="both"/>
        <w:rPr>
          <w:b/>
          <w:snapToGrid w:val="0"/>
          <w:sz w:val="24"/>
        </w:rPr>
      </w:pPr>
    </w:p>
    <w:p w:rsidR="00B93366" w:rsidRDefault="00B93366" w:rsidP="00561BD9">
      <w:pPr>
        <w:jc w:val="both"/>
        <w:rPr>
          <w:b/>
          <w:snapToGrid w:val="0"/>
          <w:sz w:val="24"/>
        </w:rPr>
      </w:pPr>
    </w:p>
    <w:p w:rsidR="007F4E2F" w:rsidRPr="00F40A80" w:rsidRDefault="00140311" w:rsidP="00F40A80">
      <w:pPr>
        <w:pStyle w:val="ListeParagraf"/>
        <w:numPr>
          <w:ilvl w:val="0"/>
          <w:numId w:val="14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Nisan</w:t>
      </w:r>
      <w:r w:rsidR="00983801" w:rsidRPr="00F40A80">
        <w:rPr>
          <w:b/>
          <w:snapToGrid w:val="0"/>
          <w:sz w:val="24"/>
        </w:rPr>
        <w:t xml:space="preserve"> 201</w:t>
      </w:r>
      <w:r w:rsidR="0026386A">
        <w:rPr>
          <w:b/>
          <w:snapToGrid w:val="0"/>
          <w:sz w:val="24"/>
        </w:rPr>
        <w:t>3’t</w:t>
      </w:r>
      <w:r w:rsidR="00983801" w:rsidRPr="00F40A80">
        <w:rPr>
          <w:b/>
          <w:snapToGrid w:val="0"/>
          <w:sz w:val="24"/>
        </w:rPr>
        <w:t>e</w:t>
      </w:r>
      <w:r w:rsidR="003F442E" w:rsidRPr="00F40A80">
        <w:rPr>
          <w:b/>
          <w:snapToGrid w:val="0"/>
          <w:sz w:val="24"/>
        </w:rPr>
        <w:t xml:space="preserve"> </w:t>
      </w:r>
      <w:r w:rsidR="002640E4" w:rsidRPr="00F40A80">
        <w:rPr>
          <w:b/>
          <w:snapToGrid w:val="0"/>
          <w:sz w:val="24"/>
        </w:rPr>
        <w:t>Türkiye</w:t>
      </w:r>
      <w:r w:rsidR="00180794">
        <w:rPr>
          <w:b/>
          <w:snapToGrid w:val="0"/>
          <w:sz w:val="24"/>
        </w:rPr>
        <w:t xml:space="preserve"> Otomotiv İhracatında </w:t>
      </w:r>
      <w:r>
        <w:rPr>
          <w:b/>
          <w:snapToGrid w:val="0"/>
          <w:sz w:val="24"/>
        </w:rPr>
        <w:t>Almanya 252</w:t>
      </w:r>
      <w:r w:rsidR="0026386A">
        <w:rPr>
          <w:b/>
          <w:snapToGrid w:val="0"/>
          <w:sz w:val="24"/>
        </w:rPr>
        <w:t xml:space="preserve"> milyon USD ile i</w:t>
      </w:r>
      <w:r w:rsidR="00D85D1E">
        <w:rPr>
          <w:b/>
          <w:snapToGrid w:val="0"/>
          <w:sz w:val="24"/>
        </w:rPr>
        <w:t>lk sırada yer almaktadır</w:t>
      </w:r>
      <w:r>
        <w:rPr>
          <w:b/>
          <w:snapToGrid w:val="0"/>
          <w:sz w:val="24"/>
        </w:rPr>
        <w:t>. Almanya’ya yönelik ihracat %4</w:t>
      </w:r>
      <w:r w:rsidR="00FF0D1E">
        <w:rPr>
          <w:b/>
          <w:snapToGrid w:val="0"/>
          <w:sz w:val="24"/>
        </w:rPr>
        <w:t xml:space="preserve"> azalmıştır</w:t>
      </w:r>
      <w:r w:rsidR="0026386A">
        <w:rPr>
          <w:b/>
          <w:snapToGrid w:val="0"/>
          <w:sz w:val="24"/>
        </w:rPr>
        <w:t>.</w:t>
      </w:r>
    </w:p>
    <w:p w:rsidR="007C0AAF" w:rsidRDefault="007C0AAF" w:rsidP="00F40A80">
      <w:pPr>
        <w:jc w:val="both"/>
        <w:rPr>
          <w:b/>
          <w:snapToGrid w:val="0"/>
          <w:sz w:val="24"/>
        </w:rPr>
      </w:pPr>
    </w:p>
    <w:p w:rsidR="003F442E" w:rsidRPr="00F40A80" w:rsidRDefault="00140311" w:rsidP="00F40A80">
      <w:pPr>
        <w:pStyle w:val="ListeParagraf"/>
        <w:numPr>
          <w:ilvl w:val="0"/>
          <w:numId w:val="14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Nisan</w:t>
      </w:r>
      <w:r w:rsidR="00781731">
        <w:rPr>
          <w:b/>
          <w:snapToGrid w:val="0"/>
          <w:sz w:val="24"/>
        </w:rPr>
        <w:t xml:space="preserve"> 2013’te</w:t>
      </w:r>
      <w:r w:rsidR="00351F12" w:rsidRPr="00F40A80">
        <w:rPr>
          <w:b/>
          <w:snapToGrid w:val="0"/>
          <w:sz w:val="24"/>
        </w:rPr>
        <w:t xml:space="preserve"> en çok ihracat yapılan ülkeler arasında yer al</w:t>
      </w:r>
      <w:r w:rsidR="00D86A19" w:rsidRPr="00F40A80">
        <w:rPr>
          <w:b/>
          <w:snapToGrid w:val="0"/>
          <w:sz w:val="24"/>
        </w:rPr>
        <w:t xml:space="preserve">an </w:t>
      </w:r>
      <w:r w:rsidR="00FF0D1E">
        <w:rPr>
          <w:b/>
          <w:snapToGrid w:val="0"/>
          <w:sz w:val="24"/>
        </w:rPr>
        <w:t>Fransa’ya yönelik otomotiv ihracatı %1</w:t>
      </w:r>
      <w:r>
        <w:rPr>
          <w:b/>
          <w:snapToGrid w:val="0"/>
          <w:sz w:val="24"/>
        </w:rPr>
        <w:t>4</w:t>
      </w:r>
      <w:r w:rsidR="00FF0D1E">
        <w:rPr>
          <w:b/>
          <w:snapToGrid w:val="0"/>
          <w:sz w:val="24"/>
        </w:rPr>
        <w:t xml:space="preserve">, </w:t>
      </w:r>
      <w:r>
        <w:rPr>
          <w:b/>
          <w:snapToGrid w:val="0"/>
          <w:sz w:val="24"/>
        </w:rPr>
        <w:t xml:space="preserve">İtalya’ya yönelik otomotiv ihracatı %13, </w:t>
      </w:r>
      <w:r w:rsidR="00D85D1E">
        <w:rPr>
          <w:b/>
          <w:snapToGrid w:val="0"/>
          <w:sz w:val="24"/>
        </w:rPr>
        <w:t>Birleşik Krallı</w:t>
      </w:r>
      <w:r w:rsidR="00FF0D1E">
        <w:rPr>
          <w:b/>
          <w:snapToGrid w:val="0"/>
          <w:sz w:val="24"/>
        </w:rPr>
        <w:t>ğa yöne</w:t>
      </w:r>
      <w:r>
        <w:rPr>
          <w:b/>
          <w:snapToGrid w:val="0"/>
          <w:sz w:val="24"/>
        </w:rPr>
        <w:t>lik otomotiv ihracatı %46</w:t>
      </w:r>
      <w:r w:rsidR="00FF0D1E">
        <w:rPr>
          <w:b/>
          <w:snapToGrid w:val="0"/>
          <w:sz w:val="24"/>
        </w:rPr>
        <w:t xml:space="preserve">, Birleşik Devletlere </w:t>
      </w:r>
      <w:r>
        <w:rPr>
          <w:b/>
          <w:snapToGrid w:val="0"/>
          <w:sz w:val="24"/>
        </w:rPr>
        <w:t>yönelik otomotiv ihracatı da %34</w:t>
      </w:r>
      <w:r w:rsidR="00D85D1E">
        <w:rPr>
          <w:b/>
          <w:snapToGrid w:val="0"/>
          <w:sz w:val="24"/>
        </w:rPr>
        <w:t xml:space="preserve"> artmıştır.</w:t>
      </w:r>
    </w:p>
    <w:p w:rsidR="00F14015" w:rsidRDefault="00F14015" w:rsidP="00F40A80">
      <w:pPr>
        <w:jc w:val="both"/>
        <w:rPr>
          <w:b/>
          <w:snapToGrid w:val="0"/>
          <w:sz w:val="24"/>
        </w:rPr>
      </w:pPr>
    </w:p>
    <w:p w:rsidR="0026386A" w:rsidRDefault="00BD58AF" w:rsidP="00EB3414">
      <w:pPr>
        <w:pStyle w:val="ListeParagraf"/>
        <w:numPr>
          <w:ilvl w:val="0"/>
          <w:numId w:val="14"/>
        </w:numPr>
        <w:tabs>
          <w:tab w:val="left" w:pos="810"/>
        </w:tabs>
        <w:ind w:left="0"/>
        <w:jc w:val="both"/>
        <w:rPr>
          <w:b/>
          <w:snapToGrid w:val="0"/>
          <w:sz w:val="24"/>
        </w:rPr>
      </w:pPr>
      <w:r w:rsidRPr="00140311">
        <w:rPr>
          <w:b/>
          <w:snapToGrid w:val="0"/>
          <w:sz w:val="24"/>
        </w:rPr>
        <w:t>Buna karşılık</w:t>
      </w:r>
      <w:r w:rsidR="0061585E" w:rsidRPr="00140311">
        <w:rPr>
          <w:b/>
          <w:snapToGrid w:val="0"/>
          <w:sz w:val="24"/>
        </w:rPr>
        <w:t xml:space="preserve">, yine en çok ihracat yapılan ülkeler arasında yer </w:t>
      </w:r>
      <w:r w:rsidR="0026386A" w:rsidRPr="00140311">
        <w:rPr>
          <w:b/>
          <w:snapToGrid w:val="0"/>
          <w:sz w:val="24"/>
        </w:rPr>
        <w:t xml:space="preserve">alan </w:t>
      </w:r>
      <w:r w:rsidR="00FF0D1E" w:rsidRPr="00140311">
        <w:rPr>
          <w:b/>
          <w:snapToGrid w:val="0"/>
          <w:sz w:val="24"/>
        </w:rPr>
        <w:t>Rusya Federasyonu’na y</w:t>
      </w:r>
      <w:r w:rsidR="00140311" w:rsidRPr="00140311">
        <w:rPr>
          <w:b/>
          <w:snapToGrid w:val="0"/>
          <w:sz w:val="24"/>
        </w:rPr>
        <w:t>önelik ihracat %17</w:t>
      </w:r>
      <w:r w:rsidR="00140311">
        <w:rPr>
          <w:b/>
          <w:snapToGrid w:val="0"/>
          <w:sz w:val="24"/>
        </w:rPr>
        <w:t>, Hollanda’ya yönelik ihracat %19, İsveç’e yönelik ihracat da %37 azalmıştır.</w:t>
      </w:r>
    </w:p>
    <w:p w:rsidR="00140311" w:rsidRPr="00140311" w:rsidRDefault="00140311" w:rsidP="00140311">
      <w:pPr>
        <w:pStyle w:val="ListeParagraf"/>
        <w:tabs>
          <w:tab w:val="left" w:pos="810"/>
        </w:tabs>
        <w:ind w:left="0"/>
        <w:jc w:val="both"/>
        <w:rPr>
          <w:b/>
          <w:snapToGrid w:val="0"/>
          <w:sz w:val="24"/>
        </w:rPr>
      </w:pPr>
    </w:p>
    <w:p w:rsidR="00EB3414" w:rsidRPr="00B71E2B" w:rsidRDefault="00140311" w:rsidP="00EB3414">
      <w:pPr>
        <w:pStyle w:val="ListeParagraf"/>
        <w:numPr>
          <w:ilvl w:val="0"/>
          <w:numId w:val="14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Nisan</w:t>
      </w:r>
      <w:r w:rsidR="00C80037">
        <w:rPr>
          <w:snapToGrid w:val="0"/>
          <w:sz w:val="24"/>
        </w:rPr>
        <w:t xml:space="preserve"> 2013’</w:t>
      </w:r>
      <w:r>
        <w:rPr>
          <w:snapToGrid w:val="0"/>
          <w:sz w:val="24"/>
        </w:rPr>
        <w:t>te Birleşik Krallığa yönelik %46</w:t>
      </w:r>
      <w:r w:rsidR="00C80037">
        <w:rPr>
          <w:snapToGrid w:val="0"/>
          <w:sz w:val="24"/>
        </w:rPr>
        <w:t>’l</w:t>
      </w:r>
      <w:r>
        <w:rPr>
          <w:snapToGrid w:val="0"/>
          <w:sz w:val="24"/>
        </w:rPr>
        <w:t>ı</w:t>
      </w:r>
      <w:r w:rsidR="00C80037">
        <w:rPr>
          <w:snapToGrid w:val="0"/>
          <w:sz w:val="24"/>
        </w:rPr>
        <w:t>k ihracat artışında bu ülkeye yönelik eşya taşımaya mahsus motorlu t</w:t>
      </w:r>
      <w:r>
        <w:rPr>
          <w:snapToGrid w:val="0"/>
          <w:sz w:val="24"/>
        </w:rPr>
        <w:t>aşıtlar ihracatımızın %108</w:t>
      </w:r>
      <w:r w:rsidR="00C80037">
        <w:rPr>
          <w:snapToGrid w:val="0"/>
          <w:sz w:val="24"/>
        </w:rPr>
        <w:t>, bine</w:t>
      </w:r>
      <w:r>
        <w:rPr>
          <w:snapToGrid w:val="0"/>
          <w:sz w:val="24"/>
        </w:rPr>
        <w:t>k otomobil ihracatımızın da %194</w:t>
      </w:r>
      <w:r w:rsidR="00C80037">
        <w:rPr>
          <w:snapToGrid w:val="0"/>
          <w:sz w:val="24"/>
        </w:rPr>
        <w:t xml:space="preserve"> artması rol oynamıştır.</w:t>
      </w:r>
    </w:p>
    <w:p w:rsidR="00E3353B" w:rsidRPr="00562610" w:rsidRDefault="00E3353B" w:rsidP="00F40A80">
      <w:pPr>
        <w:jc w:val="both"/>
        <w:rPr>
          <w:snapToGrid w:val="0"/>
          <w:color w:val="FF0000"/>
          <w:sz w:val="24"/>
        </w:rPr>
      </w:pPr>
    </w:p>
    <w:p w:rsidR="00A60D37" w:rsidRDefault="00850478" w:rsidP="00A60D37">
      <w:pPr>
        <w:pStyle w:val="ListeParagraf"/>
        <w:numPr>
          <w:ilvl w:val="0"/>
          <w:numId w:val="14"/>
        </w:numPr>
        <w:ind w:left="0"/>
        <w:jc w:val="both"/>
        <w:rPr>
          <w:snapToGrid w:val="0"/>
          <w:sz w:val="24"/>
        </w:rPr>
      </w:pPr>
      <w:r w:rsidRPr="00140311">
        <w:rPr>
          <w:snapToGrid w:val="0"/>
          <w:sz w:val="24"/>
        </w:rPr>
        <w:t>B</w:t>
      </w:r>
      <w:r w:rsidR="00140311" w:rsidRPr="00140311">
        <w:rPr>
          <w:snapToGrid w:val="0"/>
          <w:sz w:val="24"/>
        </w:rPr>
        <w:t>irleşik Devletlere yönelik %34</w:t>
      </w:r>
      <w:r w:rsidR="00C80037" w:rsidRPr="00140311">
        <w:rPr>
          <w:snapToGrid w:val="0"/>
          <w:sz w:val="24"/>
        </w:rPr>
        <w:t xml:space="preserve"> ihracat artışında ise bu ülkeye yönelik</w:t>
      </w:r>
      <w:r w:rsidR="00140311" w:rsidRPr="00140311">
        <w:rPr>
          <w:snapToGrid w:val="0"/>
          <w:sz w:val="24"/>
        </w:rPr>
        <w:t xml:space="preserve"> binek otomobil ihracatının %35</w:t>
      </w:r>
      <w:r w:rsidR="00140311">
        <w:rPr>
          <w:snapToGrid w:val="0"/>
          <w:sz w:val="24"/>
        </w:rPr>
        <w:t xml:space="preserve"> artması etkili olmuştur.</w:t>
      </w:r>
    </w:p>
    <w:p w:rsidR="00140311" w:rsidRPr="00140311" w:rsidRDefault="00140311" w:rsidP="00140311">
      <w:pPr>
        <w:pStyle w:val="ListeParagraf"/>
        <w:ind w:left="0"/>
        <w:jc w:val="both"/>
        <w:rPr>
          <w:snapToGrid w:val="0"/>
          <w:sz w:val="24"/>
        </w:rPr>
      </w:pPr>
    </w:p>
    <w:p w:rsidR="00A60D37" w:rsidRPr="00A60D37" w:rsidRDefault="00583856" w:rsidP="00A60D37">
      <w:pPr>
        <w:pStyle w:val="ListeParagraf"/>
        <w:numPr>
          <w:ilvl w:val="0"/>
          <w:numId w:val="14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Nisan ayında önemli alternatif pazarlarımızdan Rusya Federasyonu’na yaşanan ihracat düşüşünde bu ülkeye yönelik binek otomobiller ihracatının %50 azalması etkili olmuştur.</w:t>
      </w:r>
    </w:p>
    <w:p w:rsidR="005C675B" w:rsidRDefault="005C675B" w:rsidP="00781731">
      <w:pPr>
        <w:rPr>
          <w:b/>
          <w:snapToGrid w:val="0"/>
          <w:color w:val="0000FF"/>
          <w:sz w:val="24"/>
        </w:rPr>
      </w:pPr>
    </w:p>
    <w:p w:rsidR="005C675B" w:rsidRDefault="005C675B" w:rsidP="007F4E2F">
      <w:pPr>
        <w:jc w:val="center"/>
        <w:rPr>
          <w:b/>
          <w:snapToGrid w:val="0"/>
          <w:color w:val="0000FF"/>
          <w:sz w:val="24"/>
        </w:rPr>
      </w:pPr>
    </w:p>
    <w:p w:rsidR="007F4E2F" w:rsidRDefault="00676994" w:rsidP="007F4E2F">
      <w:pPr>
        <w:jc w:val="center"/>
        <w:rPr>
          <w:b/>
          <w:snapToGrid w:val="0"/>
          <w:color w:val="0000FF"/>
          <w:sz w:val="24"/>
        </w:rPr>
      </w:pPr>
      <w:r w:rsidRPr="005C7AAE">
        <w:rPr>
          <w:b/>
          <w:snapToGrid w:val="0"/>
          <w:color w:val="0000FF"/>
          <w:sz w:val="24"/>
        </w:rPr>
        <w:t xml:space="preserve">TÜRKİYE </w:t>
      </w:r>
      <w:r>
        <w:rPr>
          <w:b/>
          <w:snapToGrid w:val="0"/>
          <w:color w:val="0000FF"/>
          <w:sz w:val="24"/>
        </w:rPr>
        <w:t xml:space="preserve">OTOMOTİV SEKTÖRÜ </w:t>
      </w:r>
      <w:r w:rsidR="00583856">
        <w:rPr>
          <w:b/>
          <w:snapToGrid w:val="0"/>
          <w:color w:val="0000FF"/>
          <w:sz w:val="24"/>
        </w:rPr>
        <w:t>NİSAN</w:t>
      </w:r>
      <w:r w:rsidR="005C675B">
        <w:rPr>
          <w:b/>
          <w:snapToGrid w:val="0"/>
          <w:color w:val="0000FF"/>
          <w:sz w:val="24"/>
        </w:rPr>
        <w:t xml:space="preserve"> 2013</w:t>
      </w:r>
      <w:r w:rsidR="007F4E2F">
        <w:rPr>
          <w:b/>
          <w:snapToGrid w:val="0"/>
          <w:color w:val="0000FF"/>
          <w:sz w:val="24"/>
        </w:rPr>
        <w:t xml:space="preserve"> </w:t>
      </w:r>
      <w:r>
        <w:rPr>
          <w:b/>
          <w:snapToGrid w:val="0"/>
          <w:color w:val="0000FF"/>
          <w:sz w:val="24"/>
        </w:rPr>
        <w:t xml:space="preserve">AYLIK </w:t>
      </w:r>
      <w:r w:rsidR="007F4E2F">
        <w:rPr>
          <w:b/>
          <w:snapToGrid w:val="0"/>
          <w:color w:val="0000FF"/>
          <w:sz w:val="24"/>
        </w:rPr>
        <w:t xml:space="preserve">ÜLKE GRUBU </w:t>
      </w:r>
      <w:r>
        <w:rPr>
          <w:b/>
          <w:snapToGrid w:val="0"/>
          <w:color w:val="0000FF"/>
          <w:sz w:val="24"/>
        </w:rPr>
        <w:t>İHRACATI</w:t>
      </w:r>
    </w:p>
    <w:p w:rsidR="007F4E2F" w:rsidRDefault="007F4E2F" w:rsidP="00580FD1">
      <w:pPr>
        <w:rPr>
          <w:b/>
          <w:snapToGrid w:val="0"/>
          <w:color w:val="0000FF"/>
          <w:sz w:val="24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520"/>
      </w:tblGrid>
      <w:tr w:rsidR="007F4E2F" w:rsidRPr="005C7AAE" w:rsidTr="00DB5D31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rPr>
                <w:sz w:val="24"/>
                <w:szCs w:val="24"/>
              </w:rPr>
            </w:pPr>
            <w:r w:rsidRPr="005C7AAE">
              <w:rPr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5C67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5C67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5C675B" w:rsidP="005C67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7F4E2F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5C675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F4E2F" w:rsidRPr="005C7AAE" w:rsidTr="00DB5D3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DEĞER(USD)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DEĞİŞİM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PAYI%</w:t>
            </w:r>
          </w:p>
        </w:tc>
      </w:tr>
      <w:tr w:rsidR="00583856" w:rsidRPr="005C7AAE" w:rsidTr="00DB5D3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8A3679" w:rsidRDefault="005838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AB-27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1.081.255.285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1.189.685.246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583856" w:rsidRPr="005C7AAE" w:rsidTr="00DB5D3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8A3679" w:rsidRDefault="00583856" w:rsidP="00333B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110.877.122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164.097.239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83856" w:rsidRPr="005C7AAE" w:rsidTr="00DB5D3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8A3679" w:rsidRDefault="00583856" w:rsidP="002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Amerika (Kuzey+Güney)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115.899.091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163.023.079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83856" w:rsidRPr="005C7AAE" w:rsidTr="00DB5D3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8A3679" w:rsidRDefault="00583856" w:rsidP="006E2A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122.644.134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95.661.299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583856" w:rsidRDefault="00056472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83856" w:rsidRPr="005C7AAE" w:rsidTr="00DB5D3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8A3679" w:rsidRDefault="00583856" w:rsidP="006E2A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107.301.873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78.527.489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583856" w:rsidRDefault="00583856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3856">
              <w:rPr>
                <w:bCs/>
                <w:color w:val="000000"/>
                <w:sz w:val="24"/>
                <w:szCs w:val="24"/>
              </w:rPr>
              <w:t>-27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583856" w:rsidRDefault="00056472" w:rsidP="005838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83856" w:rsidRPr="005C7AAE" w:rsidTr="00DB5D3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Default="00583856" w:rsidP="008A3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31.713.679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24.722.934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3856" w:rsidRPr="005C7AAE" w:rsidTr="00DB5D3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8A3679" w:rsidRDefault="00583856" w:rsidP="008A3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Asya ve Okyanusya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26.347.387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20.614.876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3856" w:rsidRPr="005C7AAE" w:rsidTr="006668D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8A3679" w:rsidRDefault="005838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34.162.307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33.487.859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056472" w:rsidRDefault="00583856" w:rsidP="000564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472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3856" w:rsidRPr="005C7AAE" w:rsidTr="00DB5D3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8A3679" w:rsidRDefault="00583856" w:rsidP="00C04D74">
            <w:pPr>
              <w:rPr>
                <w:b/>
                <w:bCs/>
                <w:sz w:val="24"/>
                <w:szCs w:val="24"/>
              </w:rPr>
            </w:pPr>
            <w:r w:rsidRPr="008A3679"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056472" w:rsidRDefault="00583856" w:rsidP="000564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72">
              <w:rPr>
                <w:b/>
                <w:bCs/>
                <w:color w:val="000000"/>
                <w:sz w:val="24"/>
                <w:szCs w:val="24"/>
              </w:rPr>
              <w:t>1.630.200.879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056472" w:rsidRDefault="00583856" w:rsidP="000564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72">
              <w:rPr>
                <w:b/>
                <w:bCs/>
                <w:color w:val="000000"/>
                <w:sz w:val="24"/>
                <w:szCs w:val="24"/>
              </w:rPr>
              <w:t>1.769.820.021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856" w:rsidRPr="00056472" w:rsidRDefault="00583856" w:rsidP="000564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7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56" w:rsidRPr="00056472" w:rsidRDefault="00583856" w:rsidP="000564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7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F4E2F" w:rsidRDefault="007F4E2F" w:rsidP="008D4930">
      <w:pPr>
        <w:rPr>
          <w:b/>
          <w:snapToGrid w:val="0"/>
          <w:color w:val="0000FF"/>
          <w:sz w:val="24"/>
        </w:rPr>
      </w:pPr>
    </w:p>
    <w:p w:rsidR="007F4E2F" w:rsidRDefault="007F4E2F" w:rsidP="007F4E2F">
      <w:pPr>
        <w:rPr>
          <w:b/>
          <w:snapToGrid w:val="0"/>
          <w:color w:val="0000FF"/>
          <w:sz w:val="24"/>
        </w:rPr>
      </w:pPr>
    </w:p>
    <w:p w:rsidR="007F4E2F" w:rsidRDefault="00056472" w:rsidP="00F40A80">
      <w:pPr>
        <w:pStyle w:val="ListeParagraf"/>
        <w:numPr>
          <w:ilvl w:val="0"/>
          <w:numId w:val="15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Nisan</w:t>
      </w:r>
      <w:r w:rsidR="00781731">
        <w:rPr>
          <w:b/>
          <w:snapToGrid w:val="0"/>
          <w:sz w:val="24"/>
        </w:rPr>
        <w:t xml:space="preserve"> 2013’te</w:t>
      </w:r>
      <w:r w:rsidR="0012678D" w:rsidRPr="00F40A80">
        <w:rPr>
          <w:b/>
          <w:snapToGrid w:val="0"/>
          <w:sz w:val="24"/>
        </w:rPr>
        <w:t xml:space="preserve"> </w:t>
      </w:r>
      <w:r w:rsidR="00897E37">
        <w:rPr>
          <w:b/>
          <w:snapToGrid w:val="0"/>
          <w:sz w:val="24"/>
        </w:rPr>
        <w:t>Avrupa Bi</w:t>
      </w:r>
      <w:r>
        <w:rPr>
          <w:b/>
          <w:snapToGrid w:val="0"/>
          <w:sz w:val="24"/>
        </w:rPr>
        <w:t>rliği ülkeleri %67</w:t>
      </w:r>
      <w:r w:rsidR="007F4E2F" w:rsidRPr="00F40A80">
        <w:rPr>
          <w:b/>
          <w:snapToGrid w:val="0"/>
          <w:sz w:val="24"/>
        </w:rPr>
        <w:t xml:space="preserve"> pay ve </w:t>
      </w:r>
      <w:r w:rsidR="000B10BE">
        <w:rPr>
          <w:b/>
          <w:snapToGrid w:val="0"/>
          <w:sz w:val="24"/>
        </w:rPr>
        <w:t xml:space="preserve">1 </w:t>
      </w:r>
      <w:r>
        <w:rPr>
          <w:b/>
          <w:snapToGrid w:val="0"/>
          <w:sz w:val="24"/>
        </w:rPr>
        <w:t>milyar 190</w:t>
      </w:r>
      <w:r w:rsidR="00936AD9" w:rsidRPr="00F40A80">
        <w:rPr>
          <w:b/>
          <w:snapToGrid w:val="0"/>
          <w:sz w:val="24"/>
        </w:rPr>
        <w:t xml:space="preserve"> milyon</w:t>
      </w:r>
      <w:r w:rsidR="007F4E2F" w:rsidRPr="00F40A80">
        <w:rPr>
          <w:b/>
          <w:snapToGrid w:val="0"/>
          <w:sz w:val="24"/>
        </w:rPr>
        <w:t xml:space="preserve"> USD ile ülke gru</w:t>
      </w:r>
      <w:r w:rsidR="00C04D74" w:rsidRPr="00F40A80">
        <w:rPr>
          <w:b/>
          <w:snapToGrid w:val="0"/>
          <w:sz w:val="24"/>
        </w:rPr>
        <w:t>bu b</w:t>
      </w:r>
      <w:r w:rsidR="007E3EC7" w:rsidRPr="00F40A80">
        <w:rPr>
          <w:b/>
          <w:snapToGrid w:val="0"/>
          <w:sz w:val="24"/>
        </w:rPr>
        <w:t>azında ihracatta ilk sırada yer almaktadır.</w:t>
      </w:r>
      <w:r w:rsidR="000F05E8" w:rsidRPr="00F40A80">
        <w:rPr>
          <w:b/>
          <w:snapToGrid w:val="0"/>
          <w:sz w:val="24"/>
        </w:rPr>
        <w:t xml:space="preserve"> </w:t>
      </w:r>
      <w:r w:rsidR="00542746" w:rsidRPr="00F40A80">
        <w:rPr>
          <w:b/>
          <w:snapToGrid w:val="0"/>
          <w:sz w:val="24"/>
        </w:rPr>
        <w:t>AB ülkelerine yönelik</w:t>
      </w:r>
      <w:r>
        <w:rPr>
          <w:b/>
          <w:snapToGrid w:val="0"/>
          <w:sz w:val="24"/>
        </w:rPr>
        <w:t xml:space="preserve"> ihracat %10</w:t>
      </w:r>
      <w:r w:rsidR="00781731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artmıştır.</w:t>
      </w:r>
    </w:p>
    <w:p w:rsidR="00C6791C" w:rsidRDefault="00C6791C" w:rsidP="00C6791C">
      <w:pPr>
        <w:pStyle w:val="ListeParagraf"/>
        <w:ind w:left="0"/>
        <w:jc w:val="both"/>
        <w:rPr>
          <w:b/>
          <w:snapToGrid w:val="0"/>
          <w:sz w:val="24"/>
        </w:rPr>
      </w:pPr>
    </w:p>
    <w:p w:rsidR="007F4E2F" w:rsidRPr="002F66AA" w:rsidRDefault="00056472" w:rsidP="00561BD9">
      <w:pPr>
        <w:pStyle w:val="ListeParagraf"/>
        <w:numPr>
          <w:ilvl w:val="0"/>
          <w:numId w:val="15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Nisan</w:t>
      </w:r>
      <w:r w:rsidR="00781731" w:rsidRPr="002F66AA">
        <w:rPr>
          <w:b/>
          <w:snapToGrid w:val="0"/>
          <w:sz w:val="24"/>
        </w:rPr>
        <w:t xml:space="preserve"> 2013’te alternatif pazarlarımız arasında yer alan Afrik</w:t>
      </w:r>
      <w:r w:rsidR="002F66AA" w:rsidRPr="002F66AA">
        <w:rPr>
          <w:b/>
          <w:snapToGrid w:val="0"/>
          <w:sz w:val="24"/>
        </w:rPr>
        <w:t>a Ülkelerine yönelik ihracat %48</w:t>
      </w:r>
      <w:r w:rsidR="00781731" w:rsidRPr="002F66AA">
        <w:rPr>
          <w:b/>
          <w:snapToGrid w:val="0"/>
          <w:sz w:val="24"/>
        </w:rPr>
        <w:t xml:space="preserve">, </w:t>
      </w:r>
      <w:r w:rsidR="000B10BE" w:rsidRPr="002F66AA">
        <w:rPr>
          <w:b/>
          <w:snapToGrid w:val="0"/>
          <w:sz w:val="24"/>
        </w:rPr>
        <w:t>Amerika Ülkelerine yönelik ihr</w:t>
      </w:r>
      <w:r>
        <w:rPr>
          <w:b/>
          <w:snapToGrid w:val="0"/>
          <w:sz w:val="24"/>
        </w:rPr>
        <w:t>acat %41</w:t>
      </w:r>
      <w:r w:rsidR="002F66AA">
        <w:rPr>
          <w:b/>
          <w:snapToGrid w:val="0"/>
          <w:sz w:val="24"/>
        </w:rPr>
        <w:t xml:space="preserve"> artarken, Eski Doğu Bloğ</w:t>
      </w:r>
      <w:r>
        <w:rPr>
          <w:b/>
          <w:snapToGrid w:val="0"/>
          <w:sz w:val="24"/>
        </w:rPr>
        <w:t>u Ülkelerine yönelik ihracat %22</w:t>
      </w:r>
      <w:r w:rsidR="002F66AA">
        <w:rPr>
          <w:b/>
          <w:snapToGrid w:val="0"/>
          <w:sz w:val="24"/>
        </w:rPr>
        <w:t>, Ortadoğu ü</w:t>
      </w:r>
      <w:r>
        <w:rPr>
          <w:b/>
          <w:snapToGrid w:val="0"/>
          <w:sz w:val="24"/>
        </w:rPr>
        <w:t>lkelerine yönelik ihracat da %27</w:t>
      </w:r>
      <w:r w:rsidR="002F66AA">
        <w:rPr>
          <w:b/>
          <w:snapToGrid w:val="0"/>
          <w:sz w:val="24"/>
        </w:rPr>
        <w:t xml:space="preserve"> gerilemiştir.</w:t>
      </w:r>
    </w:p>
    <w:p w:rsidR="00DE4782" w:rsidRDefault="00DE4782" w:rsidP="00DE4782">
      <w:pPr>
        <w:jc w:val="both"/>
        <w:rPr>
          <w:b/>
          <w:snapToGrid w:val="0"/>
          <w:color w:val="0000FF"/>
          <w:sz w:val="24"/>
        </w:rPr>
      </w:pPr>
    </w:p>
    <w:p w:rsidR="00DE4782" w:rsidRDefault="00DE4782" w:rsidP="00DE4782">
      <w:pPr>
        <w:jc w:val="both"/>
        <w:rPr>
          <w:b/>
          <w:snapToGrid w:val="0"/>
          <w:color w:val="0000FF"/>
          <w:sz w:val="24"/>
        </w:rPr>
      </w:pPr>
    </w:p>
    <w:p w:rsidR="00E04377" w:rsidRPr="005C7AAE" w:rsidRDefault="00E04377" w:rsidP="00E04377">
      <w:pPr>
        <w:jc w:val="center"/>
        <w:rPr>
          <w:b/>
          <w:snapToGrid w:val="0"/>
          <w:color w:val="0000FF"/>
          <w:sz w:val="24"/>
        </w:rPr>
      </w:pPr>
      <w:r w:rsidRPr="005C7AAE">
        <w:rPr>
          <w:b/>
          <w:snapToGrid w:val="0"/>
          <w:color w:val="0000FF"/>
          <w:sz w:val="24"/>
        </w:rPr>
        <w:t>TÜRKİYE</w:t>
      </w:r>
      <w:r w:rsidR="009008AD">
        <w:rPr>
          <w:b/>
          <w:snapToGrid w:val="0"/>
          <w:color w:val="0000FF"/>
          <w:sz w:val="24"/>
        </w:rPr>
        <w:t xml:space="preserve"> OCAK- NİSAN</w:t>
      </w:r>
      <w:r w:rsidRPr="005C7AAE">
        <w:rPr>
          <w:b/>
          <w:snapToGrid w:val="0"/>
          <w:color w:val="0000FF"/>
          <w:sz w:val="24"/>
        </w:rPr>
        <w:t xml:space="preserve"> 201</w:t>
      </w:r>
      <w:r>
        <w:rPr>
          <w:b/>
          <w:snapToGrid w:val="0"/>
          <w:color w:val="0000FF"/>
          <w:sz w:val="24"/>
        </w:rPr>
        <w:t>3</w:t>
      </w:r>
      <w:r w:rsidRPr="005C7AAE">
        <w:rPr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snapToGrid w:val="0"/>
          <w:color w:val="0000FF"/>
          <w:sz w:val="24"/>
        </w:rPr>
        <w:t xml:space="preserve"> </w:t>
      </w:r>
      <w:r w:rsidRPr="005C7AAE">
        <w:rPr>
          <w:b/>
          <w:snapToGrid w:val="0"/>
          <w:color w:val="0000FF"/>
          <w:sz w:val="24"/>
        </w:rPr>
        <w:t>İHRACAT RAKAMLARI</w:t>
      </w:r>
    </w:p>
    <w:p w:rsidR="00E04377" w:rsidRDefault="00E04377" w:rsidP="00E04377">
      <w:pPr>
        <w:tabs>
          <w:tab w:val="left" w:pos="1410"/>
        </w:tabs>
        <w:rPr>
          <w:sz w:val="18"/>
          <w:szCs w:val="18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E04377" w:rsidRPr="005C7AAE" w:rsidTr="003A0926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E04377" w:rsidRPr="005671D7" w:rsidRDefault="00E04377" w:rsidP="003A0926">
            <w:pPr>
              <w:rPr>
                <w:b/>
                <w:color w:val="000000"/>
                <w:sz w:val="24"/>
                <w:szCs w:val="24"/>
              </w:rPr>
            </w:pPr>
            <w:r w:rsidRPr="005671D7">
              <w:rPr>
                <w:color w:val="000000"/>
                <w:sz w:val="24"/>
                <w:szCs w:val="24"/>
              </w:rPr>
              <w:t> </w:t>
            </w:r>
            <w:r w:rsidRPr="005671D7">
              <w:rPr>
                <w:b/>
                <w:color w:val="000000"/>
                <w:sz w:val="24"/>
                <w:szCs w:val="24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E04377" w:rsidRPr="005671D7" w:rsidRDefault="006E1AC5" w:rsidP="003A0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OCAK-</w:t>
            </w:r>
            <w:r w:rsidR="009008AD">
              <w:rPr>
                <w:b/>
                <w:bCs/>
                <w:color w:val="000000"/>
                <w:sz w:val="24"/>
                <w:szCs w:val="24"/>
              </w:rPr>
              <w:t>NİSAN</w:t>
            </w:r>
          </w:p>
        </w:tc>
      </w:tr>
      <w:tr w:rsidR="00E04377" w:rsidRPr="005C7AAE" w:rsidTr="003A0926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E04377" w:rsidRPr="005671D7" w:rsidRDefault="00E04377" w:rsidP="003A09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04377" w:rsidRPr="005671D7" w:rsidRDefault="00E04377" w:rsidP="003A0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E04377" w:rsidRPr="005671D7" w:rsidRDefault="00E04377" w:rsidP="003A0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A60D3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E04377" w:rsidRPr="005671D7" w:rsidRDefault="00E04377" w:rsidP="00E04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Değişim    ('13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/'1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E04377" w:rsidRPr="005671D7" w:rsidRDefault="00E04377" w:rsidP="00E04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 xml:space="preserve"> Pay(1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)  (%)</w:t>
            </w:r>
          </w:p>
        </w:tc>
      </w:tr>
      <w:tr w:rsidR="009008AD" w:rsidRPr="005C7AAE" w:rsidTr="002819EC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9008AD" w:rsidRPr="003326B2" w:rsidRDefault="009008AD" w:rsidP="003A0926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326B2">
              <w:rPr>
                <w:color w:val="000000" w:themeColor="text1"/>
                <w:sz w:val="24"/>
                <w:szCs w:val="24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008AD">
              <w:rPr>
                <w:color w:val="000000" w:themeColor="text1"/>
                <w:sz w:val="24"/>
                <w:szCs w:val="24"/>
                <w:highlight w:val="yellow"/>
              </w:rPr>
              <w:t>6.755.443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008AD">
              <w:rPr>
                <w:color w:val="000000" w:themeColor="text1"/>
                <w:sz w:val="24"/>
                <w:szCs w:val="24"/>
                <w:highlight w:val="yellow"/>
              </w:rPr>
              <w:t>6.905.289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008AD">
              <w:rPr>
                <w:color w:val="000000" w:themeColor="text1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008AD">
              <w:rPr>
                <w:color w:val="000000" w:themeColor="text1"/>
                <w:sz w:val="24"/>
                <w:szCs w:val="24"/>
                <w:highlight w:val="yellow"/>
              </w:rPr>
              <w:t>1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</w:tr>
      <w:tr w:rsidR="009008AD" w:rsidRPr="005C7AAE" w:rsidTr="002819EC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9008AD" w:rsidRPr="001937DD" w:rsidRDefault="009008AD" w:rsidP="003A092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08AD">
              <w:rPr>
                <w:color w:val="000000" w:themeColor="text1"/>
                <w:sz w:val="24"/>
                <w:szCs w:val="24"/>
              </w:rPr>
              <w:t>5.813.964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08AD">
              <w:rPr>
                <w:color w:val="000000" w:themeColor="text1"/>
                <w:sz w:val="24"/>
                <w:szCs w:val="24"/>
              </w:rPr>
              <w:t>5.654.043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08AD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08AD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008AD" w:rsidRPr="005C7AAE" w:rsidTr="002819EC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9008AD" w:rsidRPr="001937DD" w:rsidRDefault="009008AD" w:rsidP="003A092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Hazırgiyim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08AD">
              <w:rPr>
                <w:color w:val="000000" w:themeColor="text1"/>
                <w:sz w:val="24"/>
                <w:szCs w:val="24"/>
              </w:rPr>
              <w:t>5.221.048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08AD">
              <w:rPr>
                <w:color w:val="000000" w:themeColor="text1"/>
                <w:sz w:val="24"/>
                <w:szCs w:val="24"/>
              </w:rPr>
              <w:t>5.640.124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08A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08AD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008AD" w:rsidRPr="005C7AAE" w:rsidTr="002819EC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9008AD" w:rsidRPr="00A26B09" w:rsidRDefault="009008AD" w:rsidP="003A0926">
            <w:pPr>
              <w:rPr>
                <w:sz w:val="24"/>
                <w:szCs w:val="24"/>
                <w:highlight w:val="yellow"/>
              </w:rPr>
            </w:pPr>
            <w:r w:rsidRPr="000838F4">
              <w:rPr>
                <w:sz w:val="24"/>
                <w:szCs w:val="24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/>
                <w:sz w:val="24"/>
                <w:szCs w:val="24"/>
              </w:rPr>
            </w:pPr>
            <w:r w:rsidRPr="009008AD">
              <w:rPr>
                <w:color w:val="000000"/>
                <w:sz w:val="24"/>
                <w:szCs w:val="24"/>
              </w:rPr>
              <w:t>5.240.398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/>
                <w:sz w:val="24"/>
                <w:szCs w:val="24"/>
              </w:rPr>
            </w:pPr>
            <w:r w:rsidRPr="009008AD">
              <w:rPr>
                <w:color w:val="000000"/>
                <w:sz w:val="24"/>
                <w:szCs w:val="24"/>
              </w:rPr>
              <w:t>5.100.050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/>
                <w:sz w:val="24"/>
                <w:szCs w:val="24"/>
              </w:rPr>
            </w:pPr>
            <w:r w:rsidRPr="009008A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/>
                <w:sz w:val="24"/>
                <w:szCs w:val="24"/>
              </w:rPr>
            </w:pPr>
            <w:r w:rsidRPr="009008A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08AD" w:rsidRPr="005C7AAE" w:rsidTr="002819EC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9008AD" w:rsidRPr="00A26B09" w:rsidRDefault="009008AD" w:rsidP="003A0926">
            <w:pPr>
              <w:rPr>
                <w:sz w:val="24"/>
                <w:szCs w:val="24"/>
              </w:rPr>
            </w:pPr>
            <w:r w:rsidRPr="00A26B09">
              <w:rPr>
                <w:sz w:val="24"/>
                <w:szCs w:val="24"/>
              </w:rPr>
              <w:t xml:space="preserve">Elektrik-Elektronik </w:t>
            </w:r>
            <w:proofErr w:type="spellStart"/>
            <w:r w:rsidRPr="00A26B09">
              <w:rPr>
                <w:sz w:val="24"/>
                <w:szCs w:val="24"/>
              </w:rPr>
              <w:t>Mak</w:t>
            </w:r>
            <w:proofErr w:type="spellEnd"/>
            <w:r w:rsidRPr="00A26B09">
              <w:rPr>
                <w:sz w:val="24"/>
                <w:szCs w:val="24"/>
              </w:rPr>
              <w:t>. Bilişim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/>
                <w:sz w:val="24"/>
                <w:szCs w:val="24"/>
              </w:rPr>
            </w:pPr>
            <w:r w:rsidRPr="009008AD">
              <w:rPr>
                <w:color w:val="000000"/>
                <w:sz w:val="24"/>
                <w:szCs w:val="24"/>
              </w:rPr>
              <w:t>3.948.260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/>
                <w:sz w:val="24"/>
                <w:szCs w:val="24"/>
              </w:rPr>
            </w:pPr>
            <w:r w:rsidRPr="009008AD">
              <w:rPr>
                <w:color w:val="000000"/>
                <w:sz w:val="24"/>
                <w:szCs w:val="24"/>
              </w:rPr>
              <w:t>3.503.893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/>
                <w:sz w:val="24"/>
                <w:szCs w:val="24"/>
              </w:rPr>
            </w:pPr>
            <w:r w:rsidRPr="009008AD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008AD" w:rsidRPr="005C7AAE" w:rsidTr="002819E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9008AD" w:rsidRPr="00A26B09" w:rsidRDefault="009008AD" w:rsidP="003A0926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A26B09">
              <w:rPr>
                <w:b/>
                <w:bCs/>
                <w:snapToGrid w:val="0"/>
                <w:sz w:val="24"/>
                <w:szCs w:val="24"/>
              </w:rPr>
              <w:t>T O P L A 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b/>
                <w:bCs/>
                <w:sz w:val="24"/>
                <w:szCs w:val="24"/>
              </w:rPr>
            </w:pPr>
            <w:r w:rsidRPr="009008AD">
              <w:rPr>
                <w:b/>
                <w:bCs/>
                <w:sz w:val="24"/>
                <w:szCs w:val="24"/>
              </w:rPr>
              <w:t>46.621.165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b/>
                <w:bCs/>
                <w:sz w:val="24"/>
                <w:szCs w:val="24"/>
              </w:rPr>
            </w:pPr>
            <w:r w:rsidRPr="009008AD">
              <w:rPr>
                <w:b/>
                <w:bCs/>
                <w:sz w:val="24"/>
                <w:szCs w:val="24"/>
              </w:rPr>
              <w:t>48.943.028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b/>
                <w:bCs/>
                <w:sz w:val="24"/>
                <w:szCs w:val="24"/>
              </w:rPr>
            </w:pPr>
            <w:r w:rsidRPr="009008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008AD" w:rsidRPr="009008AD" w:rsidRDefault="009008AD">
            <w:pPr>
              <w:jc w:val="center"/>
              <w:rPr>
                <w:b/>
                <w:bCs/>
                <w:sz w:val="24"/>
                <w:szCs w:val="24"/>
              </w:rPr>
            </w:pPr>
            <w:r w:rsidRPr="009008AD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E04377" w:rsidRDefault="00E04377" w:rsidP="00E04377">
      <w:pPr>
        <w:tabs>
          <w:tab w:val="left" w:pos="1410"/>
        </w:tabs>
        <w:jc w:val="both"/>
        <w:rPr>
          <w:sz w:val="24"/>
        </w:rPr>
      </w:pPr>
    </w:p>
    <w:p w:rsidR="00E04377" w:rsidRPr="00F40A80" w:rsidRDefault="00E04377" w:rsidP="00E04377">
      <w:pPr>
        <w:pStyle w:val="ListeParagraf"/>
        <w:numPr>
          <w:ilvl w:val="0"/>
          <w:numId w:val="16"/>
        </w:numPr>
        <w:tabs>
          <w:tab w:val="left" w:pos="1410"/>
        </w:tabs>
        <w:ind w:left="0"/>
        <w:jc w:val="both"/>
        <w:rPr>
          <w:sz w:val="24"/>
        </w:rPr>
      </w:pPr>
      <w:r w:rsidRPr="00F40A80">
        <w:rPr>
          <w:sz w:val="24"/>
        </w:rPr>
        <w:t xml:space="preserve">Türkiye İhracatı </w:t>
      </w:r>
      <w:r w:rsidR="009008AD">
        <w:rPr>
          <w:sz w:val="24"/>
        </w:rPr>
        <w:t>2013 yılı Ocak-Nisan</w:t>
      </w:r>
      <w:r>
        <w:rPr>
          <w:sz w:val="24"/>
        </w:rPr>
        <w:t xml:space="preserve"> döneminde geçen yılın aynı dönemine </w:t>
      </w:r>
      <w:r w:rsidRPr="00F40A80">
        <w:rPr>
          <w:sz w:val="24"/>
        </w:rPr>
        <w:t xml:space="preserve">göre </w:t>
      </w:r>
      <w:r>
        <w:rPr>
          <w:sz w:val="24"/>
        </w:rPr>
        <w:t>%</w:t>
      </w:r>
      <w:r w:rsidR="009008AD">
        <w:rPr>
          <w:sz w:val="24"/>
        </w:rPr>
        <w:t>5 artarak 48,9</w:t>
      </w:r>
      <w:r w:rsidRPr="00F40A80">
        <w:rPr>
          <w:sz w:val="24"/>
        </w:rPr>
        <w:t xml:space="preserve"> milyar USD olarak gerçekleşmiştir. Bu dönemde Otomotiv Endüstrisi ihracatı %</w:t>
      </w:r>
      <w:r w:rsidR="009008AD">
        <w:rPr>
          <w:sz w:val="24"/>
        </w:rPr>
        <w:t>2 artmış ve 6,9</w:t>
      </w:r>
      <w:r w:rsidRPr="00F40A80">
        <w:rPr>
          <w:sz w:val="24"/>
        </w:rPr>
        <w:t xml:space="preserve"> milyar dol</w:t>
      </w:r>
      <w:r>
        <w:rPr>
          <w:sz w:val="24"/>
        </w:rPr>
        <w:t>ar ile</w:t>
      </w:r>
      <w:r w:rsidRPr="00F40A80">
        <w:rPr>
          <w:sz w:val="24"/>
        </w:rPr>
        <w:t xml:space="preserve"> Türkiye ihracatında ilk sıradaki yerini korumuştur. </w:t>
      </w:r>
    </w:p>
    <w:p w:rsidR="00E04377" w:rsidRDefault="00E04377" w:rsidP="00E04377">
      <w:pPr>
        <w:rPr>
          <w:sz w:val="24"/>
        </w:rPr>
      </w:pPr>
    </w:p>
    <w:p w:rsidR="00E04377" w:rsidRDefault="00E04377" w:rsidP="00E04377">
      <w:pPr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TÜRK</w:t>
      </w:r>
      <w:r w:rsidR="00F82C6C">
        <w:rPr>
          <w:b/>
          <w:snapToGrid w:val="0"/>
          <w:color w:val="0000FF"/>
          <w:sz w:val="24"/>
        </w:rPr>
        <w:t>İYE OTOMOTİV SEKTÖRÜ OCAK-NİSAN</w:t>
      </w:r>
      <w:r w:rsidR="00A60D37">
        <w:rPr>
          <w:b/>
          <w:snapToGrid w:val="0"/>
          <w:color w:val="0000FF"/>
          <w:sz w:val="24"/>
        </w:rPr>
        <w:t xml:space="preserve"> 2013</w:t>
      </w:r>
      <w:r>
        <w:rPr>
          <w:b/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b/>
          <w:snapToGrid w:val="0"/>
          <w:color w:val="0000FF"/>
          <w:sz w:val="24"/>
        </w:rPr>
        <w:t xml:space="preserve"> MAL GRUBU İHRACATI</w:t>
      </w: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5"/>
        <w:gridCol w:w="1625"/>
        <w:gridCol w:w="9"/>
        <w:gridCol w:w="1668"/>
        <w:gridCol w:w="1053"/>
        <w:gridCol w:w="1014"/>
      </w:tblGrid>
      <w:tr w:rsidR="00E04377" w:rsidTr="003A0926">
        <w:trPr>
          <w:trHeight w:val="255"/>
        </w:trPr>
        <w:tc>
          <w:tcPr>
            <w:tcW w:w="4696" w:type="dxa"/>
            <w:gridSpan w:val="2"/>
          </w:tcPr>
          <w:p w:rsidR="00E04377" w:rsidRDefault="00E04377" w:rsidP="003A0926">
            <w:pPr>
              <w:jc w:val="center"/>
              <w:rPr>
                <w:b/>
                <w:snapToGrid w:val="0"/>
                <w:color w:val="0000FF"/>
                <w:sz w:val="24"/>
              </w:rPr>
            </w:pPr>
          </w:p>
        </w:tc>
        <w:tc>
          <w:tcPr>
            <w:tcW w:w="1634" w:type="dxa"/>
            <w:gridSpan w:val="2"/>
          </w:tcPr>
          <w:p w:rsidR="00E04377" w:rsidRPr="008D6D23" w:rsidRDefault="00E04377" w:rsidP="003A0926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201</w:t>
            </w:r>
            <w:r w:rsidR="00A60D37">
              <w:rPr>
                <w:b/>
                <w:snapToGrid w:val="0"/>
                <w:sz w:val="24"/>
              </w:rPr>
              <w:t>2</w:t>
            </w:r>
          </w:p>
        </w:tc>
        <w:tc>
          <w:tcPr>
            <w:tcW w:w="1668" w:type="dxa"/>
          </w:tcPr>
          <w:p w:rsidR="00E04377" w:rsidRPr="008D6D23" w:rsidRDefault="00E04377" w:rsidP="003A0926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201</w:t>
            </w:r>
            <w:r w:rsidR="00A60D37">
              <w:rPr>
                <w:b/>
                <w:snapToGrid w:val="0"/>
                <w:sz w:val="24"/>
              </w:rPr>
              <w:t>3</w:t>
            </w:r>
          </w:p>
        </w:tc>
        <w:tc>
          <w:tcPr>
            <w:tcW w:w="1053" w:type="dxa"/>
          </w:tcPr>
          <w:p w:rsidR="00E04377" w:rsidRPr="008D6D23" w:rsidRDefault="00E04377" w:rsidP="00A60D37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1</w:t>
            </w:r>
            <w:r w:rsidR="00A60D37">
              <w:rPr>
                <w:b/>
                <w:snapToGrid w:val="0"/>
                <w:sz w:val="24"/>
              </w:rPr>
              <w:t>3</w:t>
            </w:r>
            <w:r>
              <w:rPr>
                <w:b/>
                <w:snapToGrid w:val="0"/>
                <w:sz w:val="24"/>
              </w:rPr>
              <w:t>/1</w:t>
            </w:r>
            <w:r w:rsidR="00A60D37">
              <w:rPr>
                <w:b/>
                <w:snapToGrid w:val="0"/>
                <w:sz w:val="24"/>
              </w:rPr>
              <w:t>2</w:t>
            </w:r>
          </w:p>
        </w:tc>
        <w:tc>
          <w:tcPr>
            <w:tcW w:w="1014" w:type="dxa"/>
          </w:tcPr>
          <w:p w:rsidR="00E04377" w:rsidRPr="008D6D23" w:rsidRDefault="00E04377" w:rsidP="003A0926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201</w:t>
            </w:r>
            <w:r w:rsidR="00A60D37">
              <w:rPr>
                <w:b/>
                <w:snapToGrid w:val="0"/>
                <w:sz w:val="24"/>
              </w:rPr>
              <w:t>3</w:t>
            </w:r>
          </w:p>
        </w:tc>
      </w:tr>
      <w:tr w:rsidR="00E04377" w:rsidRPr="0042374A" w:rsidTr="003A0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77" w:rsidRPr="0042374A" w:rsidRDefault="00E04377" w:rsidP="003A0926">
            <w:pPr>
              <w:rPr>
                <w:rFonts w:ascii="Arial" w:hAnsi="Arial" w:cs="Arial"/>
                <w:b/>
                <w:bCs/>
              </w:rPr>
            </w:pPr>
            <w:r w:rsidRPr="0042374A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77" w:rsidRPr="0042374A" w:rsidRDefault="00E04377" w:rsidP="003A0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42374A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77" w:rsidRPr="0042374A" w:rsidRDefault="00E04377" w:rsidP="003A0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42374A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377" w:rsidRPr="0042374A" w:rsidRDefault="00E04377" w:rsidP="003A09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7" w:rsidRPr="0042374A" w:rsidRDefault="00E04377" w:rsidP="003A0926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42374A">
              <w:rPr>
                <w:rFonts w:ascii="Arial TUR" w:hAnsi="Arial TUR" w:cs="Arial TUR"/>
                <w:b/>
                <w:bCs/>
              </w:rPr>
              <w:t>PAY%</w:t>
            </w:r>
          </w:p>
        </w:tc>
      </w:tr>
      <w:tr w:rsidR="00F82C6C" w:rsidRPr="0042374A" w:rsidTr="003A0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533CAA" w:rsidRDefault="00F82C6C" w:rsidP="003A0926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Otomotiv Yan Sanayi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2.858.874.726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2.960.174.459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F82C6C" w:rsidRPr="0042374A" w:rsidTr="003A0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533CAA" w:rsidRDefault="00F82C6C" w:rsidP="003A0926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Binek Otomobiller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2.182.527.456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2.263.153.577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F82C6C" w:rsidRPr="0042374A" w:rsidTr="003A0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533CAA" w:rsidRDefault="00F82C6C" w:rsidP="003A0926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Eşya Taşımaya Mahsus Motorlu Taşıtlar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1.243.884.742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1.238.019.177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-0,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82C6C" w:rsidRPr="0042374A" w:rsidTr="003A0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533CAA" w:rsidRDefault="00F82C6C" w:rsidP="003A0926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Otobüs Minibüs Midibüs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357.627.777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309.924.352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82C6C" w:rsidRPr="0042374A" w:rsidTr="003A0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533CAA" w:rsidRDefault="00F82C6C" w:rsidP="003A0926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Diğer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112.528.602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134.017.911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6C" w:rsidRPr="00F82C6C" w:rsidRDefault="00F82C6C" w:rsidP="00F82C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C6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82C6C" w:rsidRPr="0042374A" w:rsidTr="003A0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533CAA" w:rsidRDefault="00F82C6C" w:rsidP="003A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C6C">
              <w:rPr>
                <w:b/>
                <w:bCs/>
                <w:color w:val="000000"/>
                <w:sz w:val="24"/>
                <w:szCs w:val="24"/>
              </w:rPr>
              <w:t>6.755.443.303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C6C">
              <w:rPr>
                <w:b/>
                <w:bCs/>
                <w:color w:val="000000"/>
                <w:sz w:val="24"/>
                <w:szCs w:val="24"/>
              </w:rPr>
              <w:t>6.905.289.476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6C" w:rsidRPr="00F82C6C" w:rsidRDefault="00F82C6C" w:rsidP="00F82C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C6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6C" w:rsidRPr="00F82C6C" w:rsidRDefault="00F82C6C" w:rsidP="00F82C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C6C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04377" w:rsidRDefault="00E04377" w:rsidP="00E04377">
      <w:pPr>
        <w:rPr>
          <w:b/>
          <w:snapToGrid w:val="0"/>
          <w:color w:val="0000FF"/>
          <w:sz w:val="24"/>
        </w:rPr>
      </w:pPr>
    </w:p>
    <w:p w:rsidR="00E04377" w:rsidRDefault="00E04377" w:rsidP="00E04377">
      <w:pPr>
        <w:rPr>
          <w:b/>
          <w:snapToGrid w:val="0"/>
          <w:sz w:val="24"/>
        </w:rPr>
      </w:pPr>
    </w:p>
    <w:p w:rsidR="00E04377" w:rsidRPr="00F40A80" w:rsidRDefault="00E04377" w:rsidP="00E04377">
      <w:pPr>
        <w:pStyle w:val="ListeParagraf"/>
        <w:numPr>
          <w:ilvl w:val="0"/>
          <w:numId w:val="16"/>
        </w:numPr>
        <w:ind w:left="0"/>
        <w:jc w:val="both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Otomotiv Yan Sanayi ih</w:t>
      </w:r>
      <w:r>
        <w:rPr>
          <w:b/>
          <w:snapToGrid w:val="0"/>
          <w:sz w:val="24"/>
        </w:rPr>
        <w:t xml:space="preserve">racatı </w:t>
      </w:r>
      <w:r w:rsidR="00F82C6C">
        <w:rPr>
          <w:b/>
          <w:snapToGrid w:val="0"/>
          <w:sz w:val="24"/>
        </w:rPr>
        <w:t>yılın ilk dört</w:t>
      </w:r>
      <w:r w:rsidR="006F6F9D">
        <w:rPr>
          <w:b/>
          <w:snapToGrid w:val="0"/>
          <w:sz w:val="24"/>
        </w:rPr>
        <w:t xml:space="preserve"> </w:t>
      </w:r>
      <w:r w:rsidR="009E17B3">
        <w:rPr>
          <w:b/>
          <w:snapToGrid w:val="0"/>
          <w:sz w:val="24"/>
        </w:rPr>
        <w:t xml:space="preserve">ayında </w:t>
      </w:r>
      <w:r>
        <w:rPr>
          <w:b/>
          <w:snapToGrid w:val="0"/>
          <w:sz w:val="24"/>
        </w:rPr>
        <w:t>geçen yıla</w:t>
      </w:r>
      <w:r w:rsidRPr="00F40A80">
        <w:rPr>
          <w:b/>
          <w:snapToGrid w:val="0"/>
          <w:sz w:val="24"/>
        </w:rPr>
        <w:t xml:space="preserve"> göre</w:t>
      </w:r>
      <w:r>
        <w:rPr>
          <w:b/>
          <w:snapToGrid w:val="0"/>
          <w:sz w:val="24"/>
        </w:rPr>
        <w:t xml:space="preserve"> % </w:t>
      </w:r>
      <w:r w:rsidR="00F82C6C">
        <w:rPr>
          <w:b/>
          <w:snapToGrid w:val="0"/>
          <w:sz w:val="24"/>
        </w:rPr>
        <w:t>4</w:t>
      </w:r>
      <w:r w:rsidRPr="00F40A80">
        <w:rPr>
          <w:b/>
          <w:snapToGrid w:val="0"/>
          <w:sz w:val="24"/>
        </w:rPr>
        <w:t xml:space="preserve"> artarak </w:t>
      </w:r>
      <w:r w:rsidR="006F6F9D">
        <w:rPr>
          <w:b/>
          <w:snapToGrid w:val="0"/>
          <w:sz w:val="24"/>
        </w:rPr>
        <w:t>2</w:t>
      </w:r>
      <w:r w:rsidRPr="00F40A80">
        <w:rPr>
          <w:b/>
          <w:snapToGrid w:val="0"/>
          <w:sz w:val="24"/>
        </w:rPr>
        <w:t xml:space="preserve"> milyar </w:t>
      </w:r>
      <w:r w:rsidR="00F82C6C">
        <w:rPr>
          <w:b/>
          <w:snapToGrid w:val="0"/>
          <w:sz w:val="24"/>
        </w:rPr>
        <w:t>960</w:t>
      </w:r>
      <w:r w:rsidR="009E17B3">
        <w:rPr>
          <w:b/>
          <w:snapToGrid w:val="0"/>
          <w:sz w:val="24"/>
        </w:rPr>
        <w:t xml:space="preserve"> milyon USD olarak gerçekleşmiştir.</w:t>
      </w:r>
    </w:p>
    <w:p w:rsidR="00E04377" w:rsidRDefault="00E04377" w:rsidP="00E04377">
      <w:pPr>
        <w:jc w:val="both"/>
        <w:rPr>
          <w:b/>
          <w:snapToGrid w:val="0"/>
          <w:sz w:val="24"/>
        </w:rPr>
      </w:pPr>
    </w:p>
    <w:p w:rsidR="00E04377" w:rsidRPr="00F40A80" w:rsidRDefault="00F82C6C" w:rsidP="00E04377">
      <w:pPr>
        <w:pStyle w:val="ListeParagraf"/>
        <w:numPr>
          <w:ilvl w:val="0"/>
          <w:numId w:val="16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Ocak-Nisan</w:t>
      </w:r>
      <w:r w:rsidR="009E17B3">
        <w:rPr>
          <w:b/>
          <w:snapToGrid w:val="0"/>
          <w:sz w:val="24"/>
        </w:rPr>
        <w:t xml:space="preserve"> 2013 döneminde</w:t>
      </w:r>
      <w:r w:rsidR="00E04377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binek otomobiller ihracatı %4 artarak 2 milyar 263 milyon USD olmuş, aynı dönemde eşya taşımaya mahsus motorlu taşıtlar ihracatı ise %0,5 azalarak 1 milyar 238 milyon USD olarak gerçekleşmiştir.</w:t>
      </w:r>
    </w:p>
    <w:p w:rsidR="00E04377" w:rsidRDefault="00E04377" w:rsidP="00E04377">
      <w:pPr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5E39F5">
      <w:pPr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TÜRKİYE OTOMOTİV SEKTÖRÜ</w:t>
      </w:r>
      <w:r w:rsidR="00F82C6C">
        <w:rPr>
          <w:b/>
          <w:snapToGrid w:val="0"/>
          <w:color w:val="0000FF"/>
          <w:sz w:val="24"/>
        </w:rPr>
        <w:t xml:space="preserve"> OCAK-NİSAN</w:t>
      </w:r>
      <w:r>
        <w:rPr>
          <w:b/>
          <w:snapToGrid w:val="0"/>
          <w:color w:val="0000FF"/>
          <w:sz w:val="24"/>
        </w:rPr>
        <w:t xml:space="preserve"> 201</w:t>
      </w:r>
      <w:r w:rsidR="002570EE">
        <w:rPr>
          <w:b/>
          <w:snapToGrid w:val="0"/>
          <w:color w:val="0000FF"/>
          <w:sz w:val="24"/>
        </w:rPr>
        <w:t>3</w:t>
      </w:r>
      <w:r>
        <w:rPr>
          <w:b/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b/>
          <w:snapToGrid w:val="0"/>
          <w:color w:val="0000FF"/>
          <w:sz w:val="24"/>
        </w:rPr>
        <w:t xml:space="preserve"> ÜLKE İHRACATI</w:t>
      </w: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tbl>
      <w:tblPr>
        <w:tblW w:w="92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3"/>
        <w:gridCol w:w="1960"/>
        <w:gridCol w:w="1823"/>
        <w:gridCol w:w="1448"/>
        <w:gridCol w:w="1049"/>
      </w:tblGrid>
      <w:tr w:rsidR="00E04377" w:rsidRPr="005C7AAE" w:rsidTr="003A0926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Ü</w:t>
            </w:r>
            <w:r>
              <w:rPr>
                <w:b/>
                <w:bCs/>
                <w:sz w:val="24"/>
                <w:szCs w:val="24"/>
              </w:rPr>
              <w:t>LKE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2570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2570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04377" w:rsidRPr="005C7AAE" w:rsidRDefault="002570EE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E04377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2570E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04377" w:rsidRPr="005C7AAE" w:rsidTr="003A0926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ARTIŞ</w:t>
            </w:r>
            <w:r w:rsidRPr="005C7A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DEĞER(USD)</w:t>
            </w:r>
          </w:p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DEĞİŞİM %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PAY%</w:t>
            </w:r>
          </w:p>
        </w:tc>
      </w:tr>
      <w:tr w:rsidR="00F82C6C" w:rsidRPr="005C7AAE" w:rsidTr="003C7B18">
        <w:trPr>
          <w:trHeight w:val="243"/>
        </w:trPr>
        <w:tc>
          <w:tcPr>
            <w:tcW w:w="2963" w:type="dxa"/>
            <w:shd w:val="clear" w:color="auto" w:fill="auto"/>
            <w:noWrap/>
            <w:vAlign w:val="center"/>
          </w:tcPr>
          <w:p w:rsidR="00F82C6C" w:rsidRPr="005416C2" w:rsidRDefault="00F82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751.747.993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761.454.501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11</w:t>
            </w:r>
          </w:p>
        </w:tc>
      </w:tr>
      <w:tr w:rsidR="00F82C6C" w:rsidRPr="005C7AAE" w:rsidTr="003C7B18">
        <w:trPr>
          <w:trHeight w:val="243"/>
        </w:trPr>
        <w:tc>
          <w:tcPr>
            <w:tcW w:w="2963" w:type="dxa"/>
            <w:shd w:val="clear" w:color="auto" w:fill="auto"/>
            <w:noWrap/>
            <w:vAlign w:val="center"/>
          </w:tcPr>
          <w:p w:rsidR="00F82C6C" w:rsidRPr="005416C2" w:rsidRDefault="00F82C6C">
            <w:pPr>
              <w:rPr>
                <w:sz w:val="24"/>
                <w:szCs w:val="24"/>
              </w:rPr>
            </w:pPr>
            <w:r w:rsidRPr="005416C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irleşik Krallık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455.124.078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618.594.690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3</w:t>
            </w:r>
            <w:r w:rsidR="00E37634"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9</w:t>
            </w:r>
          </w:p>
        </w:tc>
      </w:tr>
      <w:tr w:rsidR="00F82C6C" w:rsidRPr="005C7AAE" w:rsidTr="003C7B18">
        <w:trPr>
          <w:trHeight w:val="243"/>
        </w:trPr>
        <w:tc>
          <w:tcPr>
            <w:tcW w:w="2963" w:type="dxa"/>
            <w:shd w:val="clear" w:color="auto" w:fill="auto"/>
            <w:noWrap/>
            <w:vAlign w:val="center"/>
          </w:tcPr>
          <w:p w:rsidR="00F82C6C" w:rsidRPr="005416C2" w:rsidRDefault="00F82C6C">
            <w:pPr>
              <w:rPr>
                <w:sz w:val="24"/>
                <w:szCs w:val="24"/>
              </w:rPr>
            </w:pPr>
            <w:r w:rsidRPr="005416C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elçika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270.012.069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346.689.173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28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5</w:t>
            </w:r>
          </w:p>
        </w:tc>
      </w:tr>
      <w:tr w:rsidR="00F82C6C" w:rsidRPr="005C7AAE" w:rsidTr="003C7B18">
        <w:trPr>
          <w:trHeight w:val="243"/>
        </w:trPr>
        <w:tc>
          <w:tcPr>
            <w:tcW w:w="2963" w:type="dxa"/>
            <w:shd w:val="clear" w:color="auto" w:fill="auto"/>
            <w:noWrap/>
            <w:vAlign w:val="center"/>
          </w:tcPr>
          <w:p w:rsidR="00F82C6C" w:rsidRPr="005416C2" w:rsidRDefault="00F82C6C">
            <w:pPr>
              <w:rPr>
                <w:sz w:val="24"/>
                <w:szCs w:val="24"/>
              </w:rPr>
            </w:pPr>
            <w:r w:rsidRPr="005416C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irleşik Devletler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286.677.828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341.053.245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1</w:t>
            </w:r>
            <w:r w:rsidR="00E37634">
              <w:rPr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5</w:t>
            </w:r>
          </w:p>
        </w:tc>
      </w:tr>
      <w:tr w:rsidR="00E37634" w:rsidRPr="005C7AAE" w:rsidTr="003C7B18">
        <w:trPr>
          <w:trHeight w:val="243"/>
        </w:trPr>
        <w:tc>
          <w:tcPr>
            <w:tcW w:w="2963" w:type="dxa"/>
            <w:shd w:val="clear" w:color="auto" w:fill="auto"/>
            <w:noWrap/>
            <w:vAlign w:val="center"/>
          </w:tcPr>
          <w:p w:rsidR="00E37634" w:rsidRPr="005416C2" w:rsidRDefault="00E37634">
            <w:pPr>
              <w:rPr>
                <w:sz w:val="24"/>
                <w:szCs w:val="24"/>
              </w:rPr>
            </w:pPr>
            <w:r w:rsidRPr="005416C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ezayir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163.122.963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233.144.112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3</w:t>
            </w:r>
          </w:p>
        </w:tc>
      </w:tr>
      <w:tr w:rsidR="00E04377" w:rsidRPr="005C7AAE" w:rsidTr="003A0926">
        <w:trPr>
          <w:trHeight w:val="243"/>
        </w:trPr>
        <w:tc>
          <w:tcPr>
            <w:tcW w:w="2963" w:type="dxa"/>
            <w:shd w:val="clear" w:color="auto" w:fill="auto"/>
            <w:noWrap/>
            <w:vAlign w:val="bottom"/>
          </w:tcPr>
          <w:p w:rsidR="00E04377" w:rsidRPr="004D7EC3" w:rsidRDefault="00E04377" w:rsidP="003A0926">
            <w:pPr>
              <w:pStyle w:val="NormalWeb"/>
              <w:spacing w:before="0" w:beforeAutospacing="0" w:after="0" w:afterAutospacing="0"/>
            </w:pPr>
            <w:r w:rsidRPr="004D7EC3">
              <w:rPr>
                <w:b/>
                <w:bCs/>
                <w:color w:val="000000"/>
                <w:kern w:val="24"/>
              </w:rPr>
              <w:t>AZALIŞ</w:t>
            </w:r>
            <w:r w:rsidRPr="004D7EC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04377" w:rsidRPr="004D7EC3" w:rsidRDefault="00E04377" w:rsidP="003A0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E04377" w:rsidRPr="004D7EC3" w:rsidRDefault="00E04377" w:rsidP="003A0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04377" w:rsidRPr="004D7EC3" w:rsidRDefault="00E04377" w:rsidP="003A0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E04377" w:rsidRPr="004D7EC3" w:rsidRDefault="00E04377" w:rsidP="003A0926">
            <w:pPr>
              <w:jc w:val="center"/>
              <w:rPr>
                <w:sz w:val="24"/>
                <w:szCs w:val="24"/>
              </w:rPr>
            </w:pPr>
          </w:p>
        </w:tc>
      </w:tr>
      <w:tr w:rsidR="00F82C6C" w:rsidRPr="005C7AAE" w:rsidTr="003C7B18">
        <w:trPr>
          <w:trHeight w:val="243"/>
        </w:trPr>
        <w:tc>
          <w:tcPr>
            <w:tcW w:w="2963" w:type="dxa"/>
            <w:shd w:val="clear" w:color="auto" w:fill="auto"/>
            <w:noWrap/>
            <w:vAlign w:val="center"/>
          </w:tcPr>
          <w:p w:rsidR="00F82C6C" w:rsidRPr="006F6F9D" w:rsidRDefault="00F82C6C" w:rsidP="006F6F9D">
            <w:pPr>
              <w:rPr>
                <w:sz w:val="24"/>
                <w:szCs w:val="24"/>
              </w:rPr>
            </w:pPr>
            <w:r w:rsidRPr="006F6F9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lmanya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82C6C" w:rsidRPr="00F82C6C" w:rsidRDefault="00F82C6C" w:rsidP="00F82C6C">
            <w:pPr>
              <w:jc w:val="center"/>
              <w:rPr>
                <w:sz w:val="24"/>
                <w:szCs w:val="24"/>
              </w:rPr>
            </w:pPr>
            <w:r w:rsidRPr="00F82C6C">
              <w:rPr>
                <w:sz w:val="24"/>
                <w:szCs w:val="24"/>
              </w:rPr>
              <w:t>1.034.711.632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F82C6C" w:rsidRPr="00F82C6C" w:rsidRDefault="00F82C6C" w:rsidP="00F82C6C">
            <w:pPr>
              <w:jc w:val="center"/>
              <w:rPr>
                <w:sz w:val="24"/>
                <w:szCs w:val="24"/>
              </w:rPr>
            </w:pPr>
            <w:r w:rsidRPr="00F82C6C">
              <w:rPr>
                <w:sz w:val="24"/>
                <w:szCs w:val="24"/>
              </w:rPr>
              <w:t>995.853.327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82C6C" w:rsidRPr="00F82C6C" w:rsidRDefault="00F82C6C" w:rsidP="00F82C6C">
            <w:pPr>
              <w:jc w:val="center"/>
              <w:rPr>
                <w:sz w:val="24"/>
                <w:szCs w:val="24"/>
              </w:rPr>
            </w:pPr>
            <w:r w:rsidRPr="00F82C6C">
              <w:rPr>
                <w:sz w:val="24"/>
                <w:szCs w:val="24"/>
              </w:rPr>
              <w:t>-</w:t>
            </w:r>
            <w:r w:rsidR="00E37634"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82C6C" w:rsidRPr="00F82C6C" w:rsidRDefault="00F82C6C" w:rsidP="00F82C6C">
            <w:pPr>
              <w:jc w:val="center"/>
              <w:rPr>
                <w:sz w:val="24"/>
                <w:szCs w:val="24"/>
              </w:rPr>
            </w:pPr>
            <w:r w:rsidRPr="00F82C6C">
              <w:rPr>
                <w:sz w:val="24"/>
                <w:szCs w:val="24"/>
              </w:rPr>
              <w:t>14</w:t>
            </w:r>
          </w:p>
        </w:tc>
      </w:tr>
      <w:tr w:rsidR="00F82C6C" w:rsidRPr="005C7AAE" w:rsidTr="003C7B18">
        <w:trPr>
          <w:trHeight w:val="243"/>
        </w:trPr>
        <w:tc>
          <w:tcPr>
            <w:tcW w:w="2963" w:type="dxa"/>
            <w:shd w:val="clear" w:color="auto" w:fill="auto"/>
            <w:noWrap/>
            <w:vAlign w:val="center"/>
          </w:tcPr>
          <w:p w:rsidR="00F82C6C" w:rsidRPr="006F6F9D" w:rsidRDefault="00F82C6C" w:rsidP="006F6F9D">
            <w:pPr>
              <w:rPr>
                <w:sz w:val="24"/>
                <w:szCs w:val="24"/>
              </w:rPr>
            </w:pPr>
            <w:r w:rsidRPr="005416C2">
              <w:rPr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talya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633.536.714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599.621.579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-5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82C6C" w:rsidRPr="00E37634" w:rsidRDefault="00F82C6C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9</w:t>
            </w:r>
          </w:p>
        </w:tc>
      </w:tr>
      <w:tr w:rsidR="00E37634" w:rsidRPr="005C7AAE" w:rsidTr="003A0926">
        <w:trPr>
          <w:trHeight w:val="243"/>
        </w:trPr>
        <w:tc>
          <w:tcPr>
            <w:tcW w:w="2963" w:type="dxa"/>
            <w:shd w:val="clear" w:color="auto" w:fill="auto"/>
            <w:noWrap/>
            <w:vAlign w:val="center"/>
          </w:tcPr>
          <w:p w:rsidR="00E37634" w:rsidRPr="005416C2" w:rsidRDefault="00E37634" w:rsidP="0054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Rusya Federasyonu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354.650.608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339.822.798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-4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5</w:t>
            </w:r>
          </w:p>
        </w:tc>
      </w:tr>
      <w:tr w:rsidR="00E37634" w:rsidRPr="005C7AAE" w:rsidTr="003A0926">
        <w:trPr>
          <w:trHeight w:val="243"/>
        </w:trPr>
        <w:tc>
          <w:tcPr>
            <w:tcW w:w="2963" w:type="dxa"/>
            <w:shd w:val="clear" w:color="auto" w:fill="auto"/>
            <w:noWrap/>
            <w:vAlign w:val="center"/>
          </w:tcPr>
          <w:p w:rsidR="00E37634" w:rsidRPr="005416C2" w:rsidRDefault="00E37634" w:rsidP="005416C2">
            <w:pPr>
              <w:rPr>
                <w:sz w:val="24"/>
                <w:szCs w:val="24"/>
              </w:rPr>
            </w:pPr>
            <w:r w:rsidRPr="005416C2">
              <w:rPr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spanya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265.370.187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243.497.855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-8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4</w:t>
            </w:r>
          </w:p>
        </w:tc>
      </w:tr>
      <w:tr w:rsidR="00E37634" w:rsidRPr="005C7AAE" w:rsidTr="003A0926">
        <w:trPr>
          <w:trHeight w:val="243"/>
        </w:trPr>
        <w:tc>
          <w:tcPr>
            <w:tcW w:w="2963" w:type="dxa"/>
            <w:shd w:val="clear" w:color="auto" w:fill="auto"/>
            <w:noWrap/>
            <w:vAlign w:val="center"/>
          </w:tcPr>
          <w:p w:rsidR="00E37634" w:rsidRPr="005416C2" w:rsidRDefault="00E37634" w:rsidP="005416C2">
            <w:pPr>
              <w:rPr>
                <w:sz w:val="24"/>
                <w:szCs w:val="24"/>
              </w:rPr>
            </w:pPr>
            <w:r w:rsidRPr="005416C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omanya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198.564.969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197.643.855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jc w:val="center"/>
              <w:rPr>
                <w:sz w:val="24"/>
                <w:szCs w:val="24"/>
              </w:rPr>
            </w:pPr>
            <w:r w:rsidRPr="00E37634">
              <w:rPr>
                <w:sz w:val="24"/>
                <w:szCs w:val="24"/>
              </w:rPr>
              <w:t>3</w:t>
            </w:r>
          </w:p>
        </w:tc>
      </w:tr>
    </w:tbl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E04377">
      <w:pPr>
        <w:rPr>
          <w:b/>
          <w:snapToGrid w:val="0"/>
          <w:sz w:val="24"/>
        </w:rPr>
      </w:pPr>
    </w:p>
    <w:p w:rsidR="00E04377" w:rsidRPr="00F40A80" w:rsidRDefault="00E04377" w:rsidP="00E04377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Türkiye Otomotiv İhracatında Alm</w:t>
      </w:r>
      <w:r>
        <w:rPr>
          <w:b/>
          <w:snapToGrid w:val="0"/>
          <w:sz w:val="24"/>
        </w:rPr>
        <w:t xml:space="preserve">anya </w:t>
      </w:r>
      <w:r w:rsidR="00E37634">
        <w:rPr>
          <w:b/>
          <w:snapToGrid w:val="0"/>
          <w:sz w:val="24"/>
        </w:rPr>
        <w:t>996</w:t>
      </w:r>
      <w:r w:rsidR="002570EE">
        <w:rPr>
          <w:b/>
          <w:snapToGrid w:val="0"/>
          <w:sz w:val="24"/>
        </w:rPr>
        <w:t xml:space="preserve"> milyon USD ile ilk sırada yer almaktadır.</w:t>
      </w:r>
    </w:p>
    <w:p w:rsidR="00E04377" w:rsidRDefault="00E04377" w:rsidP="00E04377">
      <w:pPr>
        <w:jc w:val="both"/>
        <w:rPr>
          <w:b/>
          <w:snapToGrid w:val="0"/>
          <w:sz w:val="24"/>
        </w:rPr>
      </w:pPr>
    </w:p>
    <w:p w:rsidR="00E04377" w:rsidRDefault="00E37634" w:rsidP="00E04377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2013 yılı üçte biri geride kalırken </w:t>
      </w:r>
      <w:r w:rsidR="002570EE">
        <w:rPr>
          <w:b/>
          <w:snapToGrid w:val="0"/>
          <w:sz w:val="24"/>
        </w:rPr>
        <w:t>Birleşik Krallığa yönelik ihracat %3</w:t>
      </w:r>
      <w:r>
        <w:rPr>
          <w:b/>
          <w:snapToGrid w:val="0"/>
          <w:sz w:val="24"/>
        </w:rPr>
        <w:t>6</w:t>
      </w:r>
      <w:r w:rsidR="005416C2">
        <w:rPr>
          <w:b/>
          <w:snapToGrid w:val="0"/>
          <w:sz w:val="24"/>
        </w:rPr>
        <w:t>, Belçika’ya yö</w:t>
      </w:r>
      <w:r>
        <w:rPr>
          <w:b/>
          <w:snapToGrid w:val="0"/>
          <w:sz w:val="24"/>
        </w:rPr>
        <w:t>nelik ihracat %28</w:t>
      </w:r>
      <w:r w:rsidR="002570EE">
        <w:rPr>
          <w:b/>
          <w:snapToGrid w:val="0"/>
          <w:sz w:val="24"/>
        </w:rPr>
        <w:t>, Birleşik D</w:t>
      </w:r>
      <w:r w:rsidR="009471EE">
        <w:rPr>
          <w:b/>
          <w:snapToGrid w:val="0"/>
          <w:sz w:val="24"/>
        </w:rPr>
        <w:t>evletlere yönelik ihracat</w:t>
      </w:r>
      <w:r>
        <w:rPr>
          <w:b/>
          <w:snapToGrid w:val="0"/>
          <w:sz w:val="24"/>
        </w:rPr>
        <w:t xml:space="preserve"> %19</w:t>
      </w:r>
      <w:r w:rsidR="005416C2">
        <w:rPr>
          <w:b/>
          <w:snapToGrid w:val="0"/>
          <w:sz w:val="24"/>
        </w:rPr>
        <w:t>,</w:t>
      </w:r>
      <w:r>
        <w:rPr>
          <w:b/>
          <w:snapToGrid w:val="0"/>
          <w:sz w:val="24"/>
        </w:rPr>
        <w:t xml:space="preserve"> Cezayir’e yönelik ihracat da %4</w:t>
      </w:r>
      <w:r w:rsidR="005416C2">
        <w:rPr>
          <w:b/>
          <w:snapToGrid w:val="0"/>
          <w:sz w:val="24"/>
        </w:rPr>
        <w:t>3</w:t>
      </w:r>
      <w:r w:rsidR="002570EE">
        <w:rPr>
          <w:b/>
          <w:snapToGrid w:val="0"/>
          <w:sz w:val="24"/>
        </w:rPr>
        <w:t xml:space="preserve"> artmıştır.</w:t>
      </w:r>
    </w:p>
    <w:p w:rsidR="00E04377" w:rsidRDefault="00E04377" w:rsidP="00E04377">
      <w:pPr>
        <w:jc w:val="both"/>
        <w:rPr>
          <w:b/>
          <w:snapToGrid w:val="0"/>
          <w:sz w:val="24"/>
        </w:rPr>
      </w:pPr>
    </w:p>
    <w:p w:rsidR="00E04377" w:rsidRPr="00D31E3B" w:rsidRDefault="002570EE" w:rsidP="00E04377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Aynı dönemde </w:t>
      </w:r>
      <w:r w:rsidR="00E37634">
        <w:rPr>
          <w:b/>
          <w:snapToGrid w:val="0"/>
          <w:sz w:val="24"/>
        </w:rPr>
        <w:t>İtalya’ya yönelik ihracat %5, İspanya’ya yönelik ihracat ise %8 gerilemiştir.</w:t>
      </w:r>
    </w:p>
    <w:p w:rsidR="00E04377" w:rsidRDefault="00E04377" w:rsidP="00E04377">
      <w:pPr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TÜRK</w:t>
      </w:r>
      <w:r w:rsidR="00E37634">
        <w:rPr>
          <w:b/>
          <w:snapToGrid w:val="0"/>
          <w:color w:val="0000FF"/>
          <w:sz w:val="24"/>
        </w:rPr>
        <w:t>İYE OTOMOTİV SEKTÖRÜ OCAK-NİSAN</w:t>
      </w:r>
      <w:r>
        <w:rPr>
          <w:b/>
          <w:snapToGrid w:val="0"/>
          <w:color w:val="0000FF"/>
          <w:sz w:val="24"/>
        </w:rPr>
        <w:t xml:space="preserve"> 201</w:t>
      </w:r>
      <w:r w:rsidR="002570EE">
        <w:rPr>
          <w:b/>
          <w:snapToGrid w:val="0"/>
          <w:color w:val="0000FF"/>
          <w:sz w:val="24"/>
        </w:rPr>
        <w:t>3</w:t>
      </w:r>
      <w:r>
        <w:rPr>
          <w:b/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b/>
          <w:snapToGrid w:val="0"/>
          <w:color w:val="0000FF"/>
          <w:sz w:val="24"/>
        </w:rPr>
        <w:t xml:space="preserve"> ÜLKE GRUBU İHRACATI</w:t>
      </w: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p w:rsidR="00E04377" w:rsidRDefault="00E04377" w:rsidP="00E04377">
      <w:pPr>
        <w:jc w:val="center"/>
        <w:rPr>
          <w:b/>
          <w:snapToGrid w:val="0"/>
          <w:color w:val="0000FF"/>
          <w:sz w:val="24"/>
        </w:rPr>
      </w:pPr>
    </w:p>
    <w:tbl>
      <w:tblPr>
        <w:tblW w:w="916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130"/>
      </w:tblGrid>
      <w:tr w:rsidR="00E04377" w:rsidRPr="005C7AAE" w:rsidTr="003A0926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rPr>
                <w:sz w:val="24"/>
                <w:szCs w:val="24"/>
              </w:rPr>
            </w:pPr>
            <w:r w:rsidRPr="005C7AAE">
              <w:rPr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2570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2570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7" w:rsidRPr="005C7AAE" w:rsidRDefault="002570EE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E04377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2570E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04377" w:rsidRPr="005C7AAE" w:rsidTr="003A092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DEĞER(USD)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DEĞİŞİM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77" w:rsidRPr="005C7AAE" w:rsidRDefault="00E04377" w:rsidP="003A0926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PAYI%</w:t>
            </w:r>
          </w:p>
        </w:tc>
      </w:tr>
      <w:tr w:rsidR="00E37634" w:rsidRPr="005C7AAE" w:rsidTr="003A092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533CAA" w:rsidRDefault="00E37634" w:rsidP="003A0926">
            <w:pPr>
              <w:rPr>
                <w:bCs/>
                <w:sz w:val="24"/>
                <w:szCs w:val="24"/>
              </w:rPr>
            </w:pPr>
            <w:r w:rsidRPr="00533CAA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B-27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4.671.476.428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4.777.068.620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69</w:t>
            </w:r>
          </w:p>
        </w:tc>
      </w:tr>
      <w:tr w:rsidR="00E37634" w:rsidRPr="005C7AAE" w:rsidTr="003A092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533CAA" w:rsidRDefault="00E37634" w:rsidP="003A0926">
            <w:pPr>
              <w:rPr>
                <w:bCs/>
                <w:sz w:val="24"/>
                <w:szCs w:val="24"/>
              </w:rPr>
            </w:pPr>
            <w:r w:rsidRPr="00533CAA">
              <w:rPr>
                <w:bCs/>
                <w:sz w:val="24"/>
                <w:szCs w:val="24"/>
              </w:rPr>
              <w:t xml:space="preserve">Amerika </w:t>
            </w:r>
            <w:r>
              <w:rPr>
                <w:bCs/>
                <w:sz w:val="24"/>
                <w:szCs w:val="24"/>
              </w:rPr>
              <w:t>(Kuzey+Güney)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470.952.197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563.171.630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8</w:t>
            </w:r>
          </w:p>
        </w:tc>
      </w:tr>
      <w:tr w:rsidR="00E37634" w:rsidRPr="005C7AAE" w:rsidTr="003A092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533CAA" w:rsidRDefault="00E37634" w:rsidP="003A09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Afrika</w:t>
            </w:r>
            <w:r w:rsidRPr="00533CAA">
              <w:rPr>
                <w:bCs/>
                <w:sz w:val="24"/>
                <w:szCs w:val="24"/>
              </w:rPr>
              <w:t xml:space="preserve">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367.974.200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511.240.854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CE5172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37634" w:rsidRPr="005C7AAE" w:rsidTr="003A092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533CAA" w:rsidRDefault="00E37634" w:rsidP="003A09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498.235.785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437.716.038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-12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6</w:t>
            </w:r>
          </w:p>
        </w:tc>
      </w:tr>
      <w:tr w:rsidR="00E37634" w:rsidRPr="005C7AAE" w:rsidTr="003A092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533CAA" w:rsidRDefault="00E37634" w:rsidP="003A09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Ortadoğu</w:t>
            </w:r>
            <w:r w:rsidRPr="00533CAA">
              <w:rPr>
                <w:bCs/>
                <w:sz w:val="24"/>
                <w:szCs w:val="24"/>
              </w:rPr>
              <w:t xml:space="preserve">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388.156.037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299.740.055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-23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4</w:t>
            </w:r>
          </w:p>
        </w:tc>
      </w:tr>
      <w:tr w:rsidR="00E37634" w:rsidRPr="005C7AAE" w:rsidTr="003A092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533CAA" w:rsidRDefault="00E37634" w:rsidP="003A09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Asya ve Okyanusya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109.814.006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109.412.185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2</w:t>
            </w:r>
          </w:p>
        </w:tc>
      </w:tr>
      <w:tr w:rsidR="00E37634" w:rsidRPr="005C7AAE" w:rsidTr="003A092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533CAA" w:rsidRDefault="00E37634" w:rsidP="002819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97.780.812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80.245.548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-18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1</w:t>
            </w:r>
          </w:p>
        </w:tc>
      </w:tr>
      <w:tr w:rsidR="00E37634" w:rsidRPr="005C7AAE" w:rsidTr="003A092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533CAA" w:rsidRDefault="00E37634" w:rsidP="003A09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90.521.160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76.564.521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-15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1</w:t>
            </w:r>
          </w:p>
        </w:tc>
      </w:tr>
      <w:tr w:rsidR="00E37634" w:rsidRPr="005C7AAE" w:rsidTr="003A092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9F64C9" w:rsidRDefault="00E37634" w:rsidP="003A0926">
            <w:pPr>
              <w:rPr>
                <w:bCs/>
                <w:sz w:val="24"/>
                <w:szCs w:val="24"/>
              </w:rPr>
            </w:pPr>
            <w:r w:rsidRPr="009F64C9">
              <w:rPr>
                <w:bCs/>
                <w:sz w:val="24"/>
                <w:szCs w:val="24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60.532.678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50.130.025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-17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37634">
              <w:rPr>
                <w:bCs/>
              </w:rPr>
              <w:t>1</w:t>
            </w:r>
          </w:p>
        </w:tc>
      </w:tr>
      <w:tr w:rsidR="00E37634" w:rsidRPr="005C7AAE" w:rsidTr="003A092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5C3C28" w:rsidRDefault="00E37634" w:rsidP="003A09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E37634">
              <w:rPr>
                <w:b/>
                <w:bCs/>
              </w:rPr>
              <w:t>6.755.443.303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E37634">
              <w:rPr>
                <w:b/>
                <w:bCs/>
              </w:rPr>
              <w:t>6.905.289.476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E37634">
              <w:rPr>
                <w:b/>
                <w:bCs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4" w:rsidRPr="00E37634" w:rsidRDefault="00E37634" w:rsidP="00E376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E37634">
              <w:rPr>
                <w:b/>
                <w:bCs/>
              </w:rPr>
              <w:t>100</w:t>
            </w:r>
          </w:p>
        </w:tc>
      </w:tr>
    </w:tbl>
    <w:p w:rsidR="00DE4782" w:rsidRDefault="00DE4782" w:rsidP="00DE4782">
      <w:pPr>
        <w:jc w:val="both"/>
        <w:rPr>
          <w:b/>
          <w:snapToGrid w:val="0"/>
          <w:color w:val="0000FF"/>
          <w:sz w:val="24"/>
        </w:rPr>
      </w:pPr>
    </w:p>
    <w:p w:rsidR="00DE4782" w:rsidRDefault="00DE4782" w:rsidP="00DE4782">
      <w:pPr>
        <w:jc w:val="both"/>
        <w:rPr>
          <w:b/>
          <w:snapToGrid w:val="0"/>
          <w:color w:val="0000FF"/>
          <w:sz w:val="24"/>
        </w:rPr>
      </w:pPr>
    </w:p>
    <w:p w:rsidR="00A7335F" w:rsidRDefault="00CE5172" w:rsidP="00A7335F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Ocak-Nisan</w:t>
      </w:r>
      <w:r w:rsidR="00A7335F" w:rsidRPr="00A7335F">
        <w:rPr>
          <w:b/>
          <w:snapToGrid w:val="0"/>
          <w:sz w:val="24"/>
        </w:rPr>
        <w:t xml:space="preserve"> 2013 dönem</w:t>
      </w:r>
      <w:r>
        <w:rPr>
          <w:b/>
          <w:snapToGrid w:val="0"/>
          <w:sz w:val="24"/>
        </w:rPr>
        <w:t>inde AB-27 ülkeleri %69 pay ve 4 milyar 777</w:t>
      </w:r>
      <w:r w:rsidR="00A7335F" w:rsidRPr="00A7335F">
        <w:rPr>
          <w:b/>
          <w:snapToGrid w:val="0"/>
          <w:sz w:val="24"/>
        </w:rPr>
        <w:t xml:space="preserve"> milyon USD ihracat ile ot</w:t>
      </w:r>
      <w:r w:rsidR="004653D0">
        <w:rPr>
          <w:b/>
          <w:snapToGrid w:val="0"/>
          <w:sz w:val="24"/>
        </w:rPr>
        <w:t>omotiv ihracatımızda en önemli p</w:t>
      </w:r>
      <w:r w:rsidR="00A7335F" w:rsidRPr="00A7335F">
        <w:rPr>
          <w:b/>
          <w:snapToGrid w:val="0"/>
          <w:sz w:val="24"/>
        </w:rPr>
        <w:t>azar konumunu korumaktadır.</w:t>
      </w:r>
      <w:r w:rsidR="00A7335F">
        <w:rPr>
          <w:b/>
          <w:snapToGrid w:val="0"/>
          <w:sz w:val="24"/>
        </w:rPr>
        <w:t xml:space="preserve"> </w:t>
      </w:r>
    </w:p>
    <w:p w:rsidR="00A7335F" w:rsidRDefault="00A7335F" w:rsidP="00A7335F">
      <w:pPr>
        <w:jc w:val="both"/>
        <w:rPr>
          <w:b/>
          <w:snapToGrid w:val="0"/>
          <w:sz w:val="24"/>
        </w:rPr>
      </w:pPr>
    </w:p>
    <w:p w:rsidR="00A7335F" w:rsidRDefault="00A7335F" w:rsidP="00A7335F">
      <w:pPr>
        <w:jc w:val="both"/>
        <w:rPr>
          <w:b/>
          <w:snapToGrid w:val="0"/>
          <w:sz w:val="24"/>
        </w:rPr>
      </w:pPr>
    </w:p>
    <w:p w:rsidR="00A7335F" w:rsidRPr="00A7335F" w:rsidRDefault="00A7335F" w:rsidP="00A7335F">
      <w:pPr>
        <w:jc w:val="both"/>
        <w:rPr>
          <w:b/>
          <w:snapToGrid w:val="0"/>
          <w:sz w:val="24"/>
        </w:rPr>
      </w:pPr>
    </w:p>
    <w:p w:rsidR="00A7335F" w:rsidRPr="00A7335F" w:rsidRDefault="00A7335F" w:rsidP="00316617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 w:rsidRPr="00A7335F">
        <w:rPr>
          <w:b/>
          <w:snapToGrid w:val="0"/>
          <w:sz w:val="24"/>
        </w:rPr>
        <w:t>Bu dönemde Afrika Ülkelerine yönelik ihracat %3</w:t>
      </w:r>
      <w:r w:rsidR="00CE5172">
        <w:rPr>
          <w:b/>
          <w:snapToGrid w:val="0"/>
          <w:sz w:val="24"/>
        </w:rPr>
        <w:t>9</w:t>
      </w:r>
      <w:r w:rsidR="004653D0">
        <w:rPr>
          <w:b/>
          <w:snapToGrid w:val="0"/>
          <w:sz w:val="24"/>
        </w:rPr>
        <w:t>, Amerik</w:t>
      </w:r>
      <w:r w:rsidR="00CE5172">
        <w:rPr>
          <w:b/>
          <w:snapToGrid w:val="0"/>
          <w:sz w:val="24"/>
        </w:rPr>
        <w:t>a ülkelerine yönelik ihracat %20</w:t>
      </w:r>
      <w:r w:rsidRPr="00A7335F">
        <w:rPr>
          <w:b/>
          <w:snapToGrid w:val="0"/>
          <w:sz w:val="24"/>
        </w:rPr>
        <w:t xml:space="preserve"> artarken, Ortadoğ</w:t>
      </w:r>
      <w:r w:rsidR="00CE5172">
        <w:rPr>
          <w:b/>
          <w:snapToGrid w:val="0"/>
          <w:sz w:val="24"/>
        </w:rPr>
        <w:t>u Ülkelerine yönelik ihracat %23</w:t>
      </w:r>
      <w:r w:rsidRPr="00A7335F">
        <w:rPr>
          <w:b/>
          <w:snapToGrid w:val="0"/>
          <w:sz w:val="24"/>
        </w:rPr>
        <w:t xml:space="preserve"> düşmüştür.</w:t>
      </w:r>
    </w:p>
    <w:p w:rsidR="00A7335F" w:rsidRDefault="00A7335F" w:rsidP="00DE4782">
      <w:pPr>
        <w:jc w:val="both"/>
        <w:rPr>
          <w:b/>
          <w:snapToGrid w:val="0"/>
          <w:color w:val="0000FF"/>
          <w:sz w:val="24"/>
        </w:rPr>
      </w:pPr>
    </w:p>
    <w:p w:rsidR="00DE4782" w:rsidRDefault="00DE4782" w:rsidP="00DE4782">
      <w:pPr>
        <w:jc w:val="both"/>
        <w:rPr>
          <w:b/>
          <w:snapToGrid w:val="0"/>
          <w:color w:val="0000FF"/>
          <w:sz w:val="24"/>
        </w:rPr>
      </w:pPr>
    </w:p>
    <w:p w:rsidR="00DE4782" w:rsidRDefault="00DE4782" w:rsidP="00DE4782">
      <w:pPr>
        <w:jc w:val="both"/>
        <w:rPr>
          <w:b/>
          <w:snapToGrid w:val="0"/>
          <w:color w:val="0000FF"/>
          <w:sz w:val="24"/>
        </w:rPr>
      </w:pPr>
    </w:p>
    <w:p w:rsidR="00DE4782" w:rsidRDefault="00DE4782" w:rsidP="00DE4782">
      <w:pPr>
        <w:jc w:val="both"/>
        <w:rPr>
          <w:b/>
          <w:snapToGrid w:val="0"/>
          <w:color w:val="0000FF"/>
          <w:sz w:val="24"/>
        </w:rPr>
      </w:pPr>
    </w:p>
    <w:p w:rsidR="00DE4782" w:rsidRDefault="00DE4782" w:rsidP="00DE4782">
      <w:pPr>
        <w:jc w:val="both"/>
        <w:rPr>
          <w:b/>
          <w:snapToGrid w:val="0"/>
          <w:color w:val="0000FF"/>
          <w:sz w:val="24"/>
        </w:rPr>
      </w:pPr>
    </w:p>
    <w:p w:rsidR="00DE4782" w:rsidRDefault="00DE4782" w:rsidP="00DE4782">
      <w:pPr>
        <w:jc w:val="both"/>
        <w:rPr>
          <w:b/>
          <w:snapToGrid w:val="0"/>
          <w:color w:val="0000FF"/>
          <w:sz w:val="24"/>
        </w:rPr>
      </w:pPr>
    </w:p>
    <w:p w:rsidR="007D4E63" w:rsidRDefault="007D4E63" w:rsidP="00DE4782">
      <w:pPr>
        <w:jc w:val="both"/>
        <w:rPr>
          <w:b/>
          <w:snapToGrid w:val="0"/>
          <w:color w:val="0000FF"/>
          <w:sz w:val="24"/>
        </w:rPr>
      </w:pPr>
    </w:p>
    <w:p w:rsidR="007D4E63" w:rsidRDefault="007D4E63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863429" w:rsidRDefault="00863429" w:rsidP="007E3EC7">
      <w:pPr>
        <w:rPr>
          <w:b/>
          <w:snapToGrid w:val="0"/>
          <w:color w:val="0000FF"/>
          <w:sz w:val="24"/>
        </w:rPr>
      </w:pPr>
    </w:p>
    <w:sectPr w:rsidR="00863429" w:rsidSect="007C0AAF">
      <w:headerReference w:type="default" r:id="rId9"/>
      <w:footerReference w:type="even" r:id="rId10"/>
      <w:footerReference w:type="default" r:id="rId11"/>
      <w:pgSz w:w="11906" w:h="16838"/>
      <w:pgMar w:top="1304" w:right="1418" w:bottom="130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D5" w:rsidRDefault="003969D5">
      <w:r>
        <w:separator/>
      </w:r>
    </w:p>
  </w:endnote>
  <w:endnote w:type="continuationSeparator" w:id="0">
    <w:p w:rsidR="003969D5" w:rsidRDefault="0039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93" w:rsidRDefault="00287D93" w:rsidP="00B477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87D93" w:rsidRDefault="00287D93" w:rsidP="00951DD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93" w:rsidRDefault="00287D93" w:rsidP="00B477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874FA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287D93" w:rsidRDefault="00287D93" w:rsidP="00951DD1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D5" w:rsidRDefault="003969D5">
      <w:r>
        <w:separator/>
      </w:r>
    </w:p>
  </w:footnote>
  <w:footnote w:type="continuationSeparator" w:id="0">
    <w:p w:rsidR="003969D5" w:rsidRDefault="00396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93" w:rsidRPr="007C0AAF" w:rsidRDefault="00287D93" w:rsidP="007C0AAF">
    <w:pPr>
      <w:jc w:val="center"/>
      <w:rPr>
        <w:b/>
        <w:color w:val="0070C0"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-528955</wp:posOffset>
          </wp:positionH>
          <wp:positionV relativeFrom="margin">
            <wp:posOffset>-561340</wp:posOffset>
          </wp:positionV>
          <wp:extent cx="1000125" cy="552450"/>
          <wp:effectExtent l="19050" t="0" r="9525" b="0"/>
          <wp:wrapSquare wrapText="bothSides"/>
          <wp:docPr id="2" name="Resim 1" descr="Oib_logo_mavi_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Oib_logo_mavi_alp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70C0"/>
        <w:sz w:val="24"/>
        <w:szCs w:val="24"/>
      </w:rPr>
      <w:t>OİB NİSAN 2013</w:t>
    </w:r>
    <w:r w:rsidRPr="007C0AAF">
      <w:rPr>
        <w:b/>
        <w:color w:val="0070C0"/>
        <w:sz w:val="24"/>
        <w:szCs w:val="24"/>
      </w:rPr>
      <w:t xml:space="preserve"> İHRACAT BÜLTENİ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88B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4C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3CB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940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3CC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83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50A1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CF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20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E21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13C0F"/>
    <w:multiLevelType w:val="hybridMultilevel"/>
    <w:tmpl w:val="68DAD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234E2"/>
    <w:multiLevelType w:val="hybridMultilevel"/>
    <w:tmpl w:val="EB246408"/>
    <w:lvl w:ilvl="0" w:tplc="F84C1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C370D"/>
    <w:multiLevelType w:val="hybridMultilevel"/>
    <w:tmpl w:val="1040D8A8"/>
    <w:lvl w:ilvl="0" w:tplc="257A2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66BE7"/>
    <w:multiLevelType w:val="hybridMultilevel"/>
    <w:tmpl w:val="05560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9010"/>
  </w:hdrShapeDefaults>
  <w:footnotePr>
    <w:footnote w:id="-1"/>
    <w:footnote w:id="0"/>
  </w:footnotePr>
  <w:endnotePr>
    <w:endnote w:id="-1"/>
    <w:endnote w:id="0"/>
  </w:endnotePr>
  <w:compat/>
  <w:rsids>
    <w:rsidRoot w:val="009B74ED"/>
    <w:rsid w:val="00000F58"/>
    <w:rsid w:val="000015D7"/>
    <w:rsid w:val="00001C64"/>
    <w:rsid w:val="0000458B"/>
    <w:rsid w:val="00004838"/>
    <w:rsid w:val="00006AE6"/>
    <w:rsid w:val="00007E2D"/>
    <w:rsid w:val="00013696"/>
    <w:rsid w:val="00015709"/>
    <w:rsid w:val="000167F1"/>
    <w:rsid w:val="00020A36"/>
    <w:rsid w:val="00020F59"/>
    <w:rsid w:val="0002132E"/>
    <w:rsid w:val="00021B36"/>
    <w:rsid w:val="000256CD"/>
    <w:rsid w:val="000261FE"/>
    <w:rsid w:val="00026B28"/>
    <w:rsid w:val="00027859"/>
    <w:rsid w:val="00027864"/>
    <w:rsid w:val="0003013B"/>
    <w:rsid w:val="0003022A"/>
    <w:rsid w:val="000314D9"/>
    <w:rsid w:val="000317B7"/>
    <w:rsid w:val="00031A7A"/>
    <w:rsid w:val="00032EA8"/>
    <w:rsid w:val="00033AEA"/>
    <w:rsid w:val="000345B4"/>
    <w:rsid w:val="0003548C"/>
    <w:rsid w:val="00037AEB"/>
    <w:rsid w:val="000412B3"/>
    <w:rsid w:val="000418E8"/>
    <w:rsid w:val="00041CB0"/>
    <w:rsid w:val="00047BE9"/>
    <w:rsid w:val="0005271C"/>
    <w:rsid w:val="00053630"/>
    <w:rsid w:val="000539BA"/>
    <w:rsid w:val="00054990"/>
    <w:rsid w:val="000552CC"/>
    <w:rsid w:val="00055F08"/>
    <w:rsid w:val="00056472"/>
    <w:rsid w:val="00060DC5"/>
    <w:rsid w:val="00062A9C"/>
    <w:rsid w:val="00066F36"/>
    <w:rsid w:val="00070821"/>
    <w:rsid w:val="000718B3"/>
    <w:rsid w:val="0007442D"/>
    <w:rsid w:val="00076749"/>
    <w:rsid w:val="00076F2A"/>
    <w:rsid w:val="0008045A"/>
    <w:rsid w:val="00081442"/>
    <w:rsid w:val="00082294"/>
    <w:rsid w:val="000838F4"/>
    <w:rsid w:val="0008455E"/>
    <w:rsid w:val="0008612E"/>
    <w:rsid w:val="0008698D"/>
    <w:rsid w:val="00086E72"/>
    <w:rsid w:val="00087AA1"/>
    <w:rsid w:val="00087B02"/>
    <w:rsid w:val="00090F8A"/>
    <w:rsid w:val="00091B9B"/>
    <w:rsid w:val="00091BAE"/>
    <w:rsid w:val="00091C83"/>
    <w:rsid w:val="00091FCC"/>
    <w:rsid w:val="00094858"/>
    <w:rsid w:val="00095B92"/>
    <w:rsid w:val="000964FA"/>
    <w:rsid w:val="00096E24"/>
    <w:rsid w:val="000977A1"/>
    <w:rsid w:val="00097810"/>
    <w:rsid w:val="000A0A81"/>
    <w:rsid w:val="000A2D9E"/>
    <w:rsid w:val="000A3309"/>
    <w:rsid w:val="000A3959"/>
    <w:rsid w:val="000A3AB9"/>
    <w:rsid w:val="000A5E53"/>
    <w:rsid w:val="000B0046"/>
    <w:rsid w:val="000B0588"/>
    <w:rsid w:val="000B0603"/>
    <w:rsid w:val="000B0BE2"/>
    <w:rsid w:val="000B10BE"/>
    <w:rsid w:val="000B1E85"/>
    <w:rsid w:val="000B3F7E"/>
    <w:rsid w:val="000B4345"/>
    <w:rsid w:val="000B48F1"/>
    <w:rsid w:val="000B5971"/>
    <w:rsid w:val="000B6A2F"/>
    <w:rsid w:val="000C28B9"/>
    <w:rsid w:val="000C587B"/>
    <w:rsid w:val="000C7212"/>
    <w:rsid w:val="000D14CA"/>
    <w:rsid w:val="000D16C6"/>
    <w:rsid w:val="000D1809"/>
    <w:rsid w:val="000D272B"/>
    <w:rsid w:val="000D2A1D"/>
    <w:rsid w:val="000D39AB"/>
    <w:rsid w:val="000D3BDE"/>
    <w:rsid w:val="000D47AE"/>
    <w:rsid w:val="000D568D"/>
    <w:rsid w:val="000E0C3F"/>
    <w:rsid w:val="000E0C53"/>
    <w:rsid w:val="000E3320"/>
    <w:rsid w:val="000E5844"/>
    <w:rsid w:val="000E5935"/>
    <w:rsid w:val="000E698E"/>
    <w:rsid w:val="000F05E8"/>
    <w:rsid w:val="000F0B3A"/>
    <w:rsid w:val="000F5C1C"/>
    <w:rsid w:val="000F5CDA"/>
    <w:rsid w:val="000F5EE8"/>
    <w:rsid w:val="001003BA"/>
    <w:rsid w:val="001015E2"/>
    <w:rsid w:val="00103807"/>
    <w:rsid w:val="00103E9F"/>
    <w:rsid w:val="0010533C"/>
    <w:rsid w:val="001057D3"/>
    <w:rsid w:val="001066AE"/>
    <w:rsid w:val="00107D16"/>
    <w:rsid w:val="00113FF6"/>
    <w:rsid w:val="00114C34"/>
    <w:rsid w:val="001150AF"/>
    <w:rsid w:val="001207E5"/>
    <w:rsid w:val="00121ACB"/>
    <w:rsid w:val="00121BDA"/>
    <w:rsid w:val="00122119"/>
    <w:rsid w:val="00124472"/>
    <w:rsid w:val="00124756"/>
    <w:rsid w:val="001265A3"/>
    <w:rsid w:val="0012678D"/>
    <w:rsid w:val="0012701C"/>
    <w:rsid w:val="00127681"/>
    <w:rsid w:val="001322CD"/>
    <w:rsid w:val="00132881"/>
    <w:rsid w:val="00133AE3"/>
    <w:rsid w:val="00137B39"/>
    <w:rsid w:val="00140311"/>
    <w:rsid w:val="00141D5F"/>
    <w:rsid w:val="00141F99"/>
    <w:rsid w:val="001423FB"/>
    <w:rsid w:val="00143981"/>
    <w:rsid w:val="00144540"/>
    <w:rsid w:val="00150B10"/>
    <w:rsid w:val="00151819"/>
    <w:rsid w:val="00154193"/>
    <w:rsid w:val="001546FB"/>
    <w:rsid w:val="00155A57"/>
    <w:rsid w:val="0015636C"/>
    <w:rsid w:val="00161251"/>
    <w:rsid w:val="0016187B"/>
    <w:rsid w:val="00161EBB"/>
    <w:rsid w:val="001639CB"/>
    <w:rsid w:val="0016594C"/>
    <w:rsid w:val="0016774E"/>
    <w:rsid w:val="001677A1"/>
    <w:rsid w:val="00175454"/>
    <w:rsid w:val="00180794"/>
    <w:rsid w:val="00180BB5"/>
    <w:rsid w:val="00184F57"/>
    <w:rsid w:val="001851EF"/>
    <w:rsid w:val="00185C0A"/>
    <w:rsid w:val="001871DE"/>
    <w:rsid w:val="001873E7"/>
    <w:rsid w:val="001877BC"/>
    <w:rsid w:val="0019307F"/>
    <w:rsid w:val="001937DD"/>
    <w:rsid w:val="001950A6"/>
    <w:rsid w:val="00195DE8"/>
    <w:rsid w:val="001A054F"/>
    <w:rsid w:val="001A2147"/>
    <w:rsid w:val="001A312C"/>
    <w:rsid w:val="001A47D4"/>
    <w:rsid w:val="001A50BB"/>
    <w:rsid w:val="001A5DA7"/>
    <w:rsid w:val="001A616F"/>
    <w:rsid w:val="001A6FB9"/>
    <w:rsid w:val="001A70C3"/>
    <w:rsid w:val="001B0B80"/>
    <w:rsid w:val="001B1326"/>
    <w:rsid w:val="001B456C"/>
    <w:rsid w:val="001C0E40"/>
    <w:rsid w:val="001C1CEF"/>
    <w:rsid w:val="001C4974"/>
    <w:rsid w:val="001C6076"/>
    <w:rsid w:val="001D0443"/>
    <w:rsid w:val="001D1ACB"/>
    <w:rsid w:val="001D2AAB"/>
    <w:rsid w:val="001D3D12"/>
    <w:rsid w:val="001D5D2C"/>
    <w:rsid w:val="001D72C5"/>
    <w:rsid w:val="001E1E2E"/>
    <w:rsid w:val="001E2DC5"/>
    <w:rsid w:val="001E366B"/>
    <w:rsid w:val="001E7681"/>
    <w:rsid w:val="001E7CB4"/>
    <w:rsid w:val="001F05CD"/>
    <w:rsid w:val="001F18E1"/>
    <w:rsid w:val="001F26E9"/>
    <w:rsid w:val="001F45F9"/>
    <w:rsid w:val="001F7B64"/>
    <w:rsid w:val="00200DAF"/>
    <w:rsid w:val="00202984"/>
    <w:rsid w:val="002044BC"/>
    <w:rsid w:val="002052AC"/>
    <w:rsid w:val="00207241"/>
    <w:rsid w:val="002170B3"/>
    <w:rsid w:val="002209BE"/>
    <w:rsid w:val="0022137D"/>
    <w:rsid w:val="00222550"/>
    <w:rsid w:val="00225B7C"/>
    <w:rsid w:val="0022721D"/>
    <w:rsid w:val="0023073C"/>
    <w:rsid w:val="00230FE7"/>
    <w:rsid w:val="00232A56"/>
    <w:rsid w:val="002333D3"/>
    <w:rsid w:val="00234F5F"/>
    <w:rsid w:val="002356F4"/>
    <w:rsid w:val="00237F93"/>
    <w:rsid w:val="00241FF4"/>
    <w:rsid w:val="00242EB2"/>
    <w:rsid w:val="0024472B"/>
    <w:rsid w:val="00244771"/>
    <w:rsid w:val="00246540"/>
    <w:rsid w:val="0025198C"/>
    <w:rsid w:val="00252AA0"/>
    <w:rsid w:val="002539F6"/>
    <w:rsid w:val="002563B3"/>
    <w:rsid w:val="002570EE"/>
    <w:rsid w:val="00260110"/>
    <w:rsid w:val="002619ED"/>
    <w:rsid w:val="002622CB"/>
    <w:rsid w:val="002625E0"/>
    <w:rsid w:val="0026386A"/>
    <w:rsid w:val="002640E4"/>
    <w:rsid w:val="002650AF"/>
    <w:rsid w:val="002667FC"/>
    <w:rsid w:val="00267496"/>
    <w:rsid w:val="00272B10"/>
    <w:rsid w:val="00272FB5"/>
    <w:rsid w:val="00273D37"/>
    <w:rsid w:val="00274968"/>
    <w:rsid w:val="00274B10"/>
    <w:rsid w:val="00274CB0"/>
    <w:rsid w:val="0027657B"/>
    <w:rsid w:val="00276BD3"/>
    <w:rsid w:val="002819EC"/>
    <w:rsid w:val="0028334C"/>
    <w:rsid w:val="0028355D"/>
    <w:rsid w:val="002843C5"/>
    <w:rsid w:val="002848C6"/>
    <w:rsid w:val="00285675"/>
    <w:rsid w:val="002857C1"/>
    <w:rsid w:val="00286C94"/>
    <w:rsid w:val="00286EE3"/>
    <w:rsid w:val="002876A7"/>
    <w:rsid w:val="00287B2E"/>
    <w:rsid w:val="00287D93"/>
    <w:rsid w:val="00294C08"/>
    <w:rsid w:val="00295F58"/>
    <w:rsid w:val="00296B46"/>
    <w:rsid w:val="00297DE0"/>
    <w:rsid w:val="00297EB7"/>
    <w:rsid w:val="002A0810"/>
    <w:rsid w:val="002A0EEF"/>
    <w:rsid w:val="002A13A5"/>
    <w:rsid w:val="002A15E2"/>
    <w:rsid w:val="002A289D"/>
    <w:rsid w:val="002A33E5"/>
    <w:rsid w:val="002A624C"/>
    <w:rsid w:val="002A659F"/>
    <w:rsid w:val="002B182B"/>
    <w:rsid w:val="002B23D1"/>
    <w:rsid w:val="002B5110"/>
    <w:rsid w:val="002C014F"/>
    <w:rsid w:val="002C130A"/>
    <w:rsid w:val="002C3202"/>
    <w:rsid w:val="002C6EE8"/>
    <w:rsid w:val="002D0841"/>
    <w:rsid w:val="002D1C4D"/>
    <w:rsid w:val="002D46BB"/>
    <w:rsid w:val="002D4B95"/>
    <w:rsid w:val="002D7B99"/>
    <w:rsid w:val="002D7C27"/>
    <w:rsid w:val="002E1145"/>
    <w:rsid w:val="002E3B29"/>
    <w:rsid w:val="002E458D"/>
    <w:rsid w:val="002E53EF"/>
    <w:rsid w:val="002E6A1B"/>
    <w:rsid w:val="002E6F65"/>
    <w:rsid w:val="002E7B88"/>
    <w:rsid w:val="002F2BAE"/>
    <w:rsid w:val="002F4669"/>
    <w:rsid w:val="002F62C9"/>
    <w:rsid w:val="002F66AA"/>
    <w:rsid w:val="002F740F"/>
    <w:rsid w:val="00301164"/>
    <w:rsid w:val="00301F43"/>
    <w:rsid w:val="00305336"/>
    <w:rsid w:val="00306689"/>
    <w:rsid w:val="00306E87"/>
    <w:rsid w:val="00307AAA"/>
    <w:rsid w:val="0031311F"/>
    <w:rsid w:val="00314251"/>
    <w:rsid w:val="0031611A"/>
    <w:rsid w:val="00316617"/>
    <w:rsid w:val="00317487"/>
    <w:rsid w:val="00322A23"/>
    <w:rsid w:val="0032368A"/>
    <w:rsid w:val="00325982"/>
    <w:rsid w:val="0033079D"/>
    <w:rsid w:val="0033182F"/>
    <w:rsid w:val="003326B2"/>
    <w:rsid w:val="00333BF2"/>
    <w:rsid w:val="00335E38"/>
    <w:rsid w:val="00336681"/>
    <w:rsid w:val="00337334"/>
    <w:rsid w:val="0034037B"/>
    <w:rsid w:val="003403EC"/>
    <w:rsid w:val="00340F48"/>
    <w:rsid w:val="00341685"/>
    <w:rsid w:val="00341E33"/>
    <w:rsid w:val="003426BD"/>
    <w:rsid w:val="00342DC7"/>
    <w:rsid w:val="003455D5"/>
    <w:rsid w:val="003473FF"/>
    <w:rsid w:val="00351F12"/>
    <w:rsid w:val="00355A8A"/>
    <w:rsid w:val="00357D3B"/>
    <w:rsid w:val="003623B5"/>
    <w:rsid w:val="003641AD"/>
    <w:rsid w:val="00364F70"/>
    <w:rsid w:val="0036535B"/>
    <w:rsid w:val="00366341"/>
    <w:rsid w:val="003704A1"/>
    <w:rsid w:val="0037204D"/>
    <w:rsid w:val="00372E2B"/>
    <w:rsid w:val="00372EEB"/>
    <w:rsid w:val="00380614"/>
    <w:rsid w:val="0038255E"/>
    <w:rsid w:val="0038346D"/>
    <w:rsid w:val="003847D4"/>
    <w:rsid w:val="00384823"/>
    <w:rsid w:val="003969D5"/>
    <w:rsid w:val="003A0631"/>
    <w:rsid w:val="003A066A"/>
    <w:rsid w:val="003A0926"/>
    <w:rsid w:val="003A0A7D"/>
    <w:rsid w:val="003A0AF2"/>
    <w:rsid w:val="003A14C6"/>
    <w:rsid w:val="003A6405"/>
    <w:rsid w:val="003B2B3B"/>
    <w:rsid w:val="003B5D1E"/>
    <w:rsid w:val="003B6DD1"/>
    <w:rsid w:val="003B7855"/>
    <w:rsid w:val="003C30C0"/>
    <w:rsid w:val="003C5BB5"/>
    <w:rsid w:val="003C7B18"/>
    <w:rsid w:val="003D0A60"/>
    <w:rsid w:val="003D199C"/>
    <w:rsid w:val="003E0E6E"/>
    <w:rsid w:val="003E1992"/>
    <w:rsid w:val="003E28F7"/>
    <w:rsid w:val="003E3AD7"/>
    <w:rsid w:val="003E7BD3"/>
    <w:rsid w:val="003F06D0"/>
    <w:rsid w:val="003F23E7"/>
    <w:rsid w:val="003F242E"/>
    <w:rsid w:val="003F3DFA"/>
    <w:rsid w:val="003F442E"/>
    <w:rsid w:val="003F58FF"/>
    <w:rsid w:val="003F6285"/>
    <w:rsid w:val="003F6F33"/>
    <w:rsid w:val="004005B1"/>
    <w:rsid w:val="00401B12"/>
    <w:rsid w:val="00403EC9"/>
    <w:rsid w:val="00404D92"/>
    <w:rsid w:val="00406B7E"/>
    <w:rsid w:val="00406D55"/>
    <w:rsid w:val="0041033F"/>
    <w:rsid w:val="00411378"/>
    <w:rsid w:val="00412502"/>
    <w:rsid w:val="0041315E"/>
    <w:rsid w:val="00414374"/>
    <w:rsid w:val="004149F2"/>
    <w:rsid w:val="00417457"/>
    <w:rsid w:val="004179DB"/>
    <w:rsid w:val="00417EEB"/>
    <w:rsid w:val="00420AD9"/>
    <w:rsid w:val="00421DA6"/>
    <w:rsid w:val="00422251"/>
    <w:rsid w:val="0042374A"/>
    <w:rsid w:val="0042391B"/>
    <w:rsid w:val="00423FAB"/>
    <w:rsid w:val="00424B69"/>
    <w:rsid w:val="00425366"/>
    <w:rsid w:val="0043048F"/>
    <w:rsid w:val="00432564"/>
    <w:rsid w:val="00432681"/>
    <w:rsid w:val="00433629"/>
    <w:rsid w:val="00433944"/>
    <w:rsid w:val="004344A6"/>
    <w:rsid w:val="00434CEE"/>
    <w:rsid w:val="004359E6"/>
    <w:rsid w:val="00437ECE"/>
    <w:rsid w:val="00443296"/>
    <w:rsid w:val="0044585C"/>
    <w:rsid w:val="00446D92"/>
    <w:rsid w:val="00447F3D"/>
    <w:rsid w:val="00447F95"/>
    <w:rsid w:val="004503D4"/>
    <w:rsid w:val="00453273"/>
    <w:rsid w:val="00454D24"/>
    <w:rsid w:val="00455B29"/>
    <w:rsid w:val="004573B4"/>
    <w:rsid w:val="004608C5"/>
    <w:rsid w:val="00460AE3"/>
    <w:rsid w:val="00460E33"/>
    <w:rsid w:val="0046155B"/>
    <w:rsid w:val="0046199E"/>
    <w:rsid w:val="00461C37"/>
    <w:rsid w:val="00461F9E"/>
    <w:rsid w:val="00463D77"/>
    <w:rsid w:val="00463DA0"/>
    <w:rsid w:val="004653D0"/>
    <w:rsid w:val="00465721"/>
    <w:rsid w:val="00471934"/>
    <w:rsid w:val="00472F49"/>
    <w:rsid w:val="004739EE"/>
    <w:rsid w:val="00473B3B"/>
    <w:rsid w:val="00474070"/>
    <w:rsid w:val="00474141"/>
    <w:rsid w:val="00474623"/>
    <w:rsid w:val="00476222"/>
    <w:rsid w:val="0047719F"/>
    <w:rsid w:val="0048182C"/>
    <w:rsid w:val="00483052"/>
    <w:rsid w:val="00487602"/>
    <w:rsid w:val="004914A0"/>
    <w:rsid w:val="00493140"/>
    <w:rsid w:val="0049400F"/>
    <w:rsid w:val="004967F2"/>
    <w:rsid w:val="004974C0"/>
    <w:rsid w:val="004A2111"/>
    <w:rsid w:val="004A2893"/>
    <w:rsid w:val="004A2BE7"/>
    <w:rsid w:val="004A374D"/>
    <w:rsid w:val="004A44ED"/>
    <w:rsid w:val="004B1C46"/>
    <w:rsid w:val="004B2B9E"/>
    <w:rsid w:val="004B2C90"/>
    <w:rsid w:val="004B3AF6"/>
    <w:rsid w:val="004B4423"/>
    <w:rsid w:val="004B4B49"/>
    <w:rsid w:val="004B569E"/>
    <w:rsid w:val="004B5AD1"/>
    <w:rsid w:val="004B5CAE"/>
    <w:rsid w:val="004B7007"/>
    <w:rsid w:val="004C0C69"/>
    <w:rsid w:val="004C0E6B"/>
    <w:rsid w:val="004C20FC"/>
    <w:rsid w:val="004C36F8"/>
    <w:rsid w:val="004C4EB4"/>
    <w:rsid w:val="004C69E4"/>
    <w:rsid w:val="004D5DBB"/>
    <w:rsid w:val="004D5FF9"/>
    <w:rsid w:val="004D7EC3"/>
    <w:rsid w:val="004E0137"/>
    <w:rsid w:val="004E178D"/>
    <w:rsid w:val="004E233E"/>
    <w:rsid w:val="004E2A6E"/>
    <w:rsid w:val="004E2C21"/>
    <w:rsid w:val="004E2CBD"/>
    <w:rsid w:val="004E3DDA"/>
    <w:rsid w:val="004E3FCA"/>
    <w:rsid w:val="004E6C00"/>
    <w:rsid w:val="004E7F58"/>
    <w:rsid w:val="004F150B"/>
    <w:rsid w:val="004F1A40"/>
    <w:rsid w:val="004F24F5"/>
    <w:rsid w:val="004F27C0"/>
    <w:rsid w:val="004F31EB"/>
    <w:rsid w:val="004F3327"/>
    <w:rsid w:val="004F4FA6"/>
    <w:rsid w:val="004F575E"/>
    <w:rsid w:val="004F7A96"/>
    <w:rsid w:val="00501C9A"/>
    <w:rsid w:val="00503778"/>
    <w:rsid w:val="00503A25"/>
    <w:rsid w:val="00504FAC"/>
    <w:rsid w:val="00505932"/>
    <w:rsid w:val="005062ED"/>
    <w:rsid w:val="005071EF"/>
    <w:rsid w:val="00510871"/>
    <w:rsid w:val="0051227A"/>
    <w:rsid w:val="005136FA"/>
    <w:rsid w:val="00515551"/>
    <w:rsid w:val="00517BDF"/>
    <w:rsid w:val="00522CE7"/>
    <w:rsid w:val="00523C79"/>
    <w:rsid w:val="00525F52"/>
    <w:rsid w:val="0053082D"/>
    <w:rsid w:val="005329AB"/>
    <w:rsid w:val="00532AE7"/>
    <w:rsid w:val="00532FE5"/>
    <w:rsid w:val="00533CAA"/>
    <w:rsid w:val="00534B9B"/>
    <w:rsid w:val="005359E2"/>
    <w:rsid w:val="00535DDF"/>
    <w:rsid w:val="00536616"/>
    <w:rsid w:val="0054044E"/>
    <w:rsid w:val="00540F47"/>
    <w:rsid w:val="005416C2"/>
    <w:rsid w:val="00541E11"/>
    <w:rsid w:val="00542746"/>
    <w:rsid w:val="0054293D"/>
    <w:rsid w:val="005442E2"/>
    <w:rsid w:val="005444B3"/>
    <w:rsid w:val="00544BD5"/>
    <w:rsid w:val="00545A5D"/>
    <w:rsid w:val="005542F2"/>
    <w:rsid w:val="005552EA"/>
    <w:rsid w:val="00561BD9"/>
    <w:rsid w:val="00562610"/>
    <w:rsid w:val="00562B86"/>
    <w:rsid w:val="00563A33"/>
    <w:rsid w:val="005671D7"/>
    <w:rsid w:val="005705F5"/>
    <w:rsid w:val="0057086A"/>
    <w:rsid w:val="00571F02"/>
    <w:rsid w:val="00574676"/>
    <w:rsid w:val="00575E1E"/>
    <w:rsid w:val="00576A35"/>
    <w:rsid w:val="00576B42"/>
    <w:rsid w:val="00576C07"/>
    <w:rsid w:val="00577DAA"/>
    <w:rsid w:val="005801D3"/>
    <w:rsid w:val="00580FAD"/>
    <w:rsid w:val="00580FD1"/>
    <w:rsid w:val="00581968"/>
    <w:rsid w:val="00583856"/>
    <w:rsid w:val="00583F5E"/>
    <w:rsid w:val="0058461D"/>
    <w:rsid w:val="00584C6B"/>
    <w:rsid w:val="005856AD"/>
    <w:rsid w:val="0058576D"/>
    <w:rsid w:val="00585ABF"/>
    <w:rsid w:val="005869CC"/>
    <w:rsid w:val="00587207"/>
    <w:rsid w:val="0058730D"/>
    <w:rsid w:val="005874B8"/>
    <w:rsid w:val="005903AC"/>
    <w:rsid w:val="00591C2C"/>
    <w:rsid w:val="00592348"/>
    <w:rsid w:val="0059242A"/>
    <w:rsid w:val="00595228"/>
    <w:rsid w:val="005965C4"/>
    <w:rsid w:val="00596D35"/>
    <w:rsid w:val="00597EB1"/>
    <w:rsid w:val="005A056C"/>
    <w:rsid w:val="005A05EE"/>
    <w:rsid w:val="005A0736"/>
    <w:rsid w:val="005A0C2D"/>
    <w:rsid w:val="005A3AD8"/>
    <w:rsid w:val="005A5570"/>
    <w:rsid w:val="005A5DF9"/>
    <w:rsid w:val="005B022D"/>
    <w:rsid w:val="005B2F60"/>
    <w:rsid w:val="005B3E6F"/>
    <w:rsid w:val="005B5641"/>
    <w:rsid w:val="005B7ACB"/>
    <w:rsid w:val="005C0377"/>
    <w:rsid w:val="005C15ED"/>
    <w:rsid w:val="005C2DFE"/>
    <w:rsid w:val="005C3C28"/>
    <w:rsid w:val="005C675B"/>
    <w:rsid w:val="005C7AAE"/>
    <w:rsid w:val="005D3E0A"/>
    <w:rsid w:val="005D4305"/>
    <w:rsid w:val="005D45C0"/>
    <w:rsid w:val="005D4860"/>
    <w:rsid w:val="005D497C"/>
    <w:rsid w:val="005D52D3"/>
    <w:rsid w:val="005D673D"/>
    <w:rsid w:val="005D7E35"/>
    <w:rsid w:val="005E0264"/>
    <w:rsid w:val="005E20BC"/>
    <w:rsid w:val="005E38C4"/>
    <w:rsid w:val="005E38E6"/>
    <w:rsid w:val="005E39F5"/>
    <w:rsid w:val="005E6A3E"/>
    <w:rsid w:val="005E6BD7"/>
    <w:rsid w:val="005E7E9E"/>
    <w:rsid w:val="005F0904"/>
    <w:rsid w:val="005F0ECB"/>
    <w:rsid w:val="00600177"/>
    <w:rsid w:val="0060188A"/>
    <w:rsid w:val="0060432D"/>
    <w:rsid w:val="006047BD"/>
    <w:rsid w:val="006048AB"/>
    <w:rsid w:val="00607AE6"/>
    <w:rsid w:val="006104CF"/>
    <w:rsid w:val="0061097B"/>
    <w:rsid w:val="0061174F"/>
    <w:rsid w:val="0061186E"/>
    <w:rsid w:val="006134E7"/>
    <w:rsid w:val="00613A1E"/>
    <w:rsid w:val="0061414F"/>
    <w:rsid w:val="0061585E"/>
    <w:rsid w:val="0061630D"/>
    <w:rsid w:val="00620450"/>
    <w:rsid w:val="00620B65"/>
    <w:rsid w:val="00620EF1"/>
    <w:rsid w:val="00620F70"/>
    <w:rsid w:val="006230A3"/>
    <w:rsid w:val="00624728"/>
    <w:rsid w:val="00624DDC"/>
    <w:rsid w:val="0062537F"/>
    <w:rsid w:val="0062576F"/>
    <w:rsid w:val="00627776"/>
    <w:rsid w:val="00631EA9"/>
    <w:rsid w:val="00634DCF"/>
    <w:rsid w:val="00635954"/>
    <w:rsid w:val="00635A4B"/>
    <w:rsid w:val="00635CCA"/>
    <w:rsid w:val="00637D0F"/>
    <w:rsid w:val="0064006C"/>
    <w:rsid w:val="00640651"/>
    <w:rsid w:val="00640802"/>
    <w:rsid w:val="00640C3E"/>
    <w:rsid w:val="00642F2D"/>
    <w:rsid w:val="006443A7"/>
    <w:rsid w:val="006462BD"/>
    <w:rsid w:val="00647A66"/>
    <w:rsid w:val="00650029"/>
    <w:rsid w:val="0065251D"/>
    <w:rsid w:val="006529B9"/>
    <w:rsid w:val="00653408"/>
    <w:rsid w:val="0065410A"/>
    <w:rsid w:val="006544AA"/>
    <w:rsid w:val="006548B6"/>
    <w:rsid w:val="00661016"/>
    <w:rsid w:val="00663F9F"/>
    <w:rsid w:val="006646CD"/>
    <w:rsid w:val="00664CB9"/>
    <w:rsid w:val="006652E6"/>
    <w:rsid w:val="006668DA"/>
    <w:rsid w:val="00666926"/>
    <w:rsid w:val="006728C5"/>
    <w:rsid w:val="00672D78"/>
    <w:rsid w:val="00673594"/>
    <w:rsid w:val="00674CEB"/>
    <w:rsid w:val="006753F5"/>
    <w:rsid w:val="00676994"/>
    <w:rsid w:val="00681DE1"/>
    <w:rsid w:val="0068397C"/>
    <w:rsid w:val="00683CC4"/>
    <w:rsid w:val="00684294"/>
    <w:rsid w:val="00691B6D"/>
    <w:rsid w:val="00691E86"/>
    <w:rsid w:val="006926B0"/>
    <w:rsid w:val="00693EC2"/>
    <w:rsid w:val="006961A3"/>
    <w:rsid w:val="00697A02"/>
    <w:rsid w:val="006A0987"/>
    <w:rsid w:val="006A1CA0"/>
    <w:rsid w:val="006A36BE"/>
    <w:rsid w:val="006A408C"/>
    <w:rsid w:val="006A4806"/>
    <w:rsid w:val="006A534D"/>
    <w:rsid w:val="006A587E"/>
    <w:rsid w:val="006A5B6E"/>
    <w:rsid w:val="006A6061"/>
    <w:rsid w:val="006A70BD"/>
    <w:rsid w:val="006A764E"/>
    <w:rsid w:val="006A796C"/>
    <w:rsid w:val="006A7CDD"/>
    <w:rsid w:val="006A7CEB"/>
    <w:rsid w:val="006B095C"/>
    <w:rsid w:val="006B195A"/>
    <w:rsid w:val="006B447C"/>
    <w:rsid w:val="006B6AE0"/>
    <w:rsid w:val="006C3334"/>
    <w:rsid w:val="006C4804"/>
    <w:rsid w:val="006C5439"/>
    <w:rsid w:val="006C7BB5"/>
    <w:rsid w:val="006D01BF"/>
    <w:rsid w:val="006D232C"/>
    <w:rsid w:val="006D34E2"/>
    <w:rsid w:val="006D54AE"/>
    <w:rsid w:val="006D6E0C"/>
    <w:rsid w:val="006E1AC5"/>
    <w:rsid w:val="006E2384"/>
    <w:rsid w:val="006E2AD7"/>
    <w:rsid w:val="006F1584"/>
    <w:rsid w:val="006F1EFB"/>
    <w:rsid w:val="006F2CFD"/>
    <w:rsid w:val="006F6F9D"/>
    <w:rsid w:val="006F7A21"/>
    <w:rsid w:val="00700CA8"/>
    <w:rsid w:val="00703206"/>
    <w:rsid w:val="00706E02"/>
    <w:rsid w:val="007071BA"/>
    <w:rsid w:val="0070733F"/>
    <w:rsid w:val="0071014F"/>
    <w:rsid w:val="00711E79"/>
    <w:rsid w:val="00720F56"/>
    <w:rsid w:val="00723A50"/>
    <w:rsid w:val="00725435"/>
    <w:rsid w:val="0072584A"/>
    <w:rsid w:val="00730329"/>
    <w:rsid w:val="0073076D"/>
    <w:rsid w:val="00730F8C"/>
    <w:rsid w:val="007313BB"/>
    <w:rsid w:val="007318BA"/>
    <w:rsid w:val="00733E05"/>
    <w:rsid w:val="00735491"/>
    <w:rsid w:val="00735BEF"/>
    <w:rsid w:val="00735DD4"/>
    <w:rsid w:val="007402F0"/>
    <w:rsid w:val="007406F9"/>
    <w:rsid w:val="00741BFE"/>
    <w:rsid w:val="00742130"/>
    <w:rsid w:val="00742ECD"/>
    <w:rsid w:val="007451AE"/>
    <w:rsid w:val="007467DB"/>
    <w:rsid w:val="0075086A"/>
    <w:rsid w:val="00752DDE"/>
    <w:rsid w:val="00753034"/>
    <w:rsid w:val="0075586C"/>
    <w:rsid w:val="00760EC5"/>
    <w:rsid w:val="00765C2E"/>
    <w:rsid w:val="00771A52"/>
    <w:rsid w:val="00771ED6"/>
    <w:rsid w:val="00772EA4"/>
    <w:rsid w:val="00772F21"/>
    <w:rsid w:val="0077301C"/>
    <w:rsid w:val="00773159"/>
    <w:rsid w:val="007749B8"/>
    <w:rsid w:val="0077599B"/>
    <w:rsid w:val="00775B2F"/>
    <w:rsid w:val="00776771"/>
    <w:rsid w:val="00776892"/>
    <w:rsid w:val="00776DC2"/>
    <w:rsid w:val="00780448"/>
    <w:rsid w:val="00781731"/>
    <w:rsid w:val="007855AF"/>
    <w:rsid w:val="007861B6"/>
    <w:rsid w:val="00790226"/>
    <w:rsid w:val="0079168C"/>
    <w:rsid w:val="007928BD"/>
    <w:rsid w:val="00793E9B"/>
    <w:rsid w:val="0079556C"/>
    <w:rsid w:val="00795961"/>
    <w:rsid w:val="007A086C"/>
    <w:rsid w:val="007A0D05"/>
    <w:rsid w:val="007A686E"/>
    <w:rsid w:val="007A747A"/>
    <w:rsid w:val="007A7495"/>
    <w:rsid w:val="007A7E36"/>
    <w:rsid w:val="007B356E"/>
    <w:rsid w:val="007B42F7"/>
    <w:rsid w:val="007B611E"/>
    <w:rsid w:val="007B6631"/>
    <w:rsid w:val="007C0AAF"/>
    <w:rsid w:val="007C1848"/>
    <w:rsid w:val="007C1A37"/>
    <w:rsid w:val="007C5FFC"/>
    <w:rsid w:val="007C6EF0"/>
    <w:rsid w:val="007D4E63"/>
    <w:rsid w:val="007D7E3A"/>
    <w:rsid w:val="007E11C2"/>
    <w:rsid w:val="007E2185"/>
    <w:rsid w:val="007E3EC7"/>
    <w:rsid w:val="007E4E3B"/>
    <w:rsid w:val="007E59AF"/>
    <w:rsid w:val="007E6A97"/>
    <w:rsid w:val="007F4E2F"/>
    <w:rsid w:val="00803430"/>
    <w:rsid w:val="00803DB3"/>
    <w:rsid w:val="008049B8"/>
    <w:rsid w:val="00804B6A"/>
    <w:rsid w:val="00805116"/>
    <w:rsid w:val="008102B8"/>
    <w:rsid w:val="0081227A"/>
    <w:rsid w:val="00812EE4"/>
    <w:rsid w:val="00817318"/>
    <w:rsid w:val="00817AF1"/>
    <w:rsid w:val="008201AA"/>
    <w:rsid w:val="00820E71"/>
    <w:rsid w:val="008231E6"/>
    <w:rsid w:val="00825AAC"/>
    <w:rsid w:val="008268A4"/>
    <w:rsid w:val="00832B42"/>
    <w:rsid w:val="00832D15"/>
    <w:rsid w:val="00833C3E"/>
    <w:rsid w:val="008348CC"/>
    <w:rsid w:val="008367EE"/>
    <w:rsid w:val="00837B7F"/>
    <w:rsid w:val="0084092D"/>
    <w:rsid w:val="00845AFF"/>
    <w:rsid w:val="00845F3F"/>
    <w:rsid w:val="0084703E"/>
    <w:rsid w:val="00850478"/>
    <w:rsid w:val="00852603"/>
    <w:rsid w:val="008526D6"/>
    <w:rsid w:val="0085620E"/>
    <w:rsid w:val="00856624"/>
    <w:rsid w:val="00857D70"/>
    <w:rsid w:val="00857FB1"/>
    <w:rsid w:val="00863429"/>
    <w:rsid w:val="00863658"/>
    <w:rsid w:val="00870039"/>
    <w:rsid w:val="0087404D"/>
    <w:rsid w:val="008742D2"/>
    <w:rsid w:val="00876B12"/>
    <w:rsid w:val="0087736F"/>
    <w:rsid w:val="00880507"/>
    <w:rsid w:val="0088214D"/>
    <w:rsid w:val="008829E3"/>
    <w:rsid w:val="00883389"/>
    <w:rsid w:val="0088395E"/>
    <w:rsid w:val="00885978"/>
    <w:rsid w:val="00893B95"/>
    <w:rsid w:val="008952F5"/>
    <w:rsid w:val="008964BA"/>
    <w:rsid w:val="00897814"/>
    <w:rsid w:val="00897E37"/>
    <w:rsid w:val="008A1FC3"/>
    <w:rsid w:val="008A27D8"/>
    <w:rsid w:val="008A2BE0"/>
    <w:rsid w:val="008A3679"/>
    <w:rsid w:val="008A47C4"/>
    <w:rsid w:val="008A4C25"/>
    <w:rsid w:val="008A5A2E"/>
    <w:rsid w:val="008A5EF2"/>
    <w:rsid w:val="008A65D6"/>
    <w:rsid w:val="008A73EE"/>
    <w:rsid w:val="008A772E"/>
    <w:rsid w:val="008B0D27"/>
    <w:rsid w:val="008B0E05"/>
    <w:rsid w:val="008B2EB3"/>
    <w:rsid w:val="008B5791"/>
    <w:rsid w:val="008C0962"/>
    <w:rsid w:val="008C180C"/>
    <w:rsid w:val="008C1B42"/>
    <w:rsid w:val="008C6DE8"/>
    <w:rsid w:val="008C7BDD"/>
    <w:rsid w:val="008D21FF"/>
    <w:rsid w:val="008D400B"/>
    <w:rsid w:val="008D46C4"/>
    <w:rsid w:val="008D48B4"/>
    <w:rsid w:val="008D4930"/>
    <w:rsid w:val="008D565F"/>
    <w:rsid w:val="008D58B4"/>
    <w:rsid w:val="008D5A3D"/>
    <w:rsid w:val="008D68C2"/>
    <w:rsid w:val="008D6D23"/>
    <w:rsid w:val="008E2DB2"/>
    <w:rsid w:val="008E37BB"/>
    <w:rsid w:val="008E7B58"/>
    <w:rsid w:val="008F109D"/>
    <w:rsid w:val="008F1848"/>
    <w:rsid w:val="008F1BF7"/>
    <w:rsid w:val="008F42B1"/>
    <w:rsid w:val="008F640E"/>
    <w:rsid w:val="008F732C"/>
    <w:rsid w:val="009008AD"/>
    <w:rsid w:val="0090096A"/>
    <w:rsid w:val="009012E0"/>
    <w:rsid w:val="0090174A"/>
    <w:rsid w:val="00902B04"/>
    <w:rsid w:val="0090333F"/>
    <w:rsid w:val="00903902"/>
    <w:rsid w:val="009050F3"/>
    <w:rsid w:val="00905D11"/>
    <w:rsid w:val="00911128"/>
    <w:rsid w:val="009119EB"/>
    <w:rsid w:val="00913A87"/>
    <w:rsid w:val="009154C6"/>
    <w:rsid w:val="00915CF8"/>
    <w:rsid w:val="00917F77"/>
    <w:rsid w:val="00920DD8"/>
    <w:rsid w:val="00925C1A"/>
    <w:rsid w:val="00926B34"/>
    <w:rsid w:val="00926CB5"/>
    <w:rsid w:val="00926E38"/>
    <w:rsid w:val="009302BE"/>
    <w:rsid w:val="00932274"/>
    <w:rsid w:val="009325B9"/>
    <w:rsid w:val="00932E6C"/>
    <w:rsid w:val="009358B1"/>
    <w:rsid w:val="00935911"/>
    <w:rsid w:val="00936AD9"/>
    <w:rsid w:val="009373B3"/>
    <w:rsid w:val="0093797B"/>
    <w:rsid w:val="00940AF0"/>
    <w:rsid w:val="009464F3"/>
    <w:rsid w:val="00946935"/>
    <w:rsid w:val="009471EE"/>
    <w:rsid w:val="00951BF8"/>
    <w:rsid w:val="00951DD1"/>
    <w:rsid w:val="009522AA"/>
    <w:rsid w:val="0095525C"/>
    <w:rsid w:val="00956F65"/>
    <w:rsid w:val="0096030F"/>
    <w:rsid w:val="00962E43"/>
    <w:rsid w:val="00966231"/>
    <w:rsid w:val="00966DFD"/>
    <w:rsid w:val="00971AA5"/>
    <w:rsid w:val="00972EE4"/>
    <w:rsid w:val="00974665"/>
    <w:rsid w:val="00975B41"/>
    <w:rsid w:val="009770D3"/>
    <w:rsid w:val="00983801"/>
    <w:rsid w:val="00983D88"/>
    <w:rsid w:val="00985DE0"/>
    <w:rsid w:val="00986813"/>
    <w:rsid w:val="00987201"/>
    <w:rsid w:val="00987DCB"/>
    <w:rsid w:val="009916D6"/>
    <w:rsid w:val="0099568E"/>
    <w:rsid w:val="009A32CB"/>
    <w:rsid w:val="009A3E68"/>
    <w:rsid w:val="009A43C6"/>
    <w:rsid w:val="009A462F"/>
    <w:rsid w:val="009A58A1"/>
    <w:rsid w:val="009A7F65"/>
    <w:rsid w:val="009B0144"/>
    <w:rsid w:val="009B0E87"/>
    <w:rsid w:val="009B1C13"/>
    <w:rsid w:val="009B33B1"/>
    <w:rsid w:val="009B397C"/>
    <w:rsid w:val="009B4532"/>
    <w:rsid w:val="009B5A04"/>
    <w:rsid w:val="009B74ED"/>
    <w:rsid w:val="009B7B7F"/>
    <w:rsid w:val="009C0449"/>
    <w:rsid w:val="009C09D6"/>
    <w:rsid w:val="009C19BC"/>
    <w:rsid w:val="009C2940"/>
    <w:rsid w:val="009C403D"/>
    <w:rsid w:val="009C5AD6"/>
    <w:rsid w:val="009C73DB"/>
    <w:rsid w:val="009C7B00"/>
    <w:rsid w:val="009D027A"/>
    <w:rsid w:val="009D2FBF"/>
    <w:rsid w:val="009D3236"/>
    <w:rsid w:val="009D3460"/>
    <w:rsid w:val="009D3852"/>
    <w:rsid w:val="009D3F46"/>
    <w:rsid w:val="009E05E6"/>
    <w:rsid w:val="009E0A3E"/>
    <w:rsid w:val="009E0DF8"/>
    <w:rsid w:val="009E17B3"/>
    <w:rsid w:val="009E28C8"/>
    <w:rsid w:val="009E3FCA"/>
    <w:rsid w:val="009E4EBE"/>
    <w:rsid w:val="009E5016"/>
    <w:rsid w:val="009E5446"/>
    <w:rsid w:val="009E72C2"/>
    <w:rsid w:val="009F033D"/>
    <w:rsid w:val="009F15DC"/>
    <w:rsid w:val="009F19B4"/>
    <w:rsid w:val="009F2F7F"/>
    <w:rsid w:val="009F5639"/>
    <w:rsid w:val="009F64C9"/>
    <w:rsid w:val="009F7493"/>
    <w:rsid w:val="00A015B6"/>
    <w:rsid w:val="00A01819"/>
    <w:rsid w:val="00A01C61"/>
    <w:rsid w:val="00A02C1A"/>
    <w:rsid w:val="00A1030D"/>
    <w:rsid w:val="00A11602"/>
    <w:rsid w:val="00A132DD"/>
    <w:rsid w:val="00A16F7F"/>
    <w:rsid w:val="00A174C1"/>
    <w:rsid w:val="00A2516A"/>
    <w:rsid w:val="00A26073"/>
    <w:rsid w:val="00A26788"/>
    <w:rsid w:val="00A26B09"/>
    <w:rsid w:val="00A32990"/>
    <w:rsid w:val="00A32E53"/>
    <w:rsid w:val="00A332B8"/>
    <w:rsid w:val="00A3352A"/>
    <w:rsid w:val="00A33B22"/>
    <w:rsid w:val="00A374AD"/>
    <w:rsid w:val="00A43CC5"/>
    <w:rsid w:val="00A46021"/>
    <w:rsid w:val="00A46456"/>
    <w:rsid w:val="00A47981"/>
    <w:rsid w:val="00A51B4B"/>
    <w:rsid w:val="00A544C1"/>
    <w:rsid w:val="00A56B85"/>
    <w:rsid w:val="00A57663"/>
    <w:rsid w:val="00A60D37"/>
    <w:rsid w:val="00A61D33"/>
    <w:rsid w:val="00A63C08"/>
    <w:rsid w:val="00A64EDA"/>
    <w:rsid w:val="00A70B24"/>
    <w:rsid w:val="00A7335F"/>
    <w:rsid w:val="00A74464"/>
    <w:rsid w:val="00A7455D"/>
    <w:rsid w:val="00A75150"/>
    <w:rsid w:val="00A755D0"/>
    <w:rsid w:val="00A76384"/>
    <w:rsid w:val="00A80E3E"/>
    <w:rsid w:val="00A8143F"/>
    <w:rsid w:val="00A82060"/>
    <w:rsid w:val="00A82C80"/>
    <w:rsid w:val="00A8464F"/>
    <w:rsid w:val="00A8571A"/>
    <w:rsid w:val="00A865DC"/>
    <w:rsid w:val="00A92975"/>
    <w:rsid w:val="00A936F3"/>
    <w:rsid w:val="00A943EE"/>
    <w:rsid w:val="00A968B5"/>
    <w:rsid w:val="00A9716E"/>
    <w:rsid w:val="00AA0720"/>
    <w:rsid w:val="00AA3005"/>
    <w:rsid w:val="00AA36AC"/>
    <w:rsid w:val="00AA38CF"/>
    <w:rsid w:val="00AA497D"/>
    <w:rsid w:val="00AA63D9"/>
    <w:rsid w:val="00AA6A3A"/>
    <w:rsid w:val="00AA73A7"/>
    <w:rsid w:val="00AB02CE"/>
    <w:rsid w:val="00AB04E5"/>
    <w:rsid w:val="00AB18DB"/>
    <w:rsid w:val="00AB3900"/>
    <w:rsid w:val="00AB51F0"/>
    <w:rsid w:val="00AB6310"/>
    <w:rsid w:val="00AB69D3"/>
    <w:rsid w:val="00AB7425"/>
    <w:rsid w:val="00AC0C4F"/>
    <w:rsid w:val="00AC1C83"/>
    <w:rsid w:val="00AC1EAF"/>
    <w:rsid w:val="00AC2442"/>
    <w:rsid w:val="00AC3D53"/>
    <w:rsid w:val="00AC4ED2"/>
    <w:rsid w:val="00AC548F"/>
    <w:rsid w:val="00AC7C4C"/>
    <w:rsid w:val="00AD02ED"/>
    <w:rsid w:val="00AD0757"/>
    <w:rsid w:val="00AD137C"/>
    <w:rsid w:val="00AD16C7"/>
    <w:rsid w:val="00AD2CF5"/>
    <w:rsid w:val="00AD665D"/>
    <w:rsid w:val="00AD6800"/>
    <w:rsid w:val="00AE21DD"/>
    <w:rsid w:val="00AE34E9"/>
    <w:rsid w:val="00AE3CBC"/>
    <w:rsid w:val="00AE5469"/>
    <w:rsid w:val="00AE7708"/>
    <w:rsid w:val="00AE7B95"/>
    <w:rsid w:val="00AE7B98"/>
    <w:rsid w:val="00AF243F"/>
    <w:rsid w:val="00AF37D2"/>
    <w:rsid w:val="00AF4C7D"/>
    <w:rsid w:val="00AF5408"/>
    <w:rsid w:val="00AF587F"/>
    <w:rsid w:val="00AF6FBB"/>
    <w:rsid w:val="00AF7E34"/>
    <w:rsid w:val="00AF7ECE"/>
    <w:rsid w:val="00B006BB"/>
    <w:rsid w:val="00B01003"/>
    <w:rsid w:val="00B01234"/>
    <w:rsid w:val="00B0125A"/>
    <w:rsid w:val="00B0344B"/>
    <w:rsid w:val="00B042F1"/>
    <w:rsid w:val="00B0694A"/>
    <w:rsid w:val="00B114BE"/>
    <w:rsid w:val="00B1318A"/>
    <w:rsid w:val="00B13FCF"/>
    <w:rsid w:val="00B2042C"/>
    <w:rsid w:val="00B2096F"/>
    <w:rsid w:val="00B20F9C"/>
    <w:rsid w:val="00B213D9"/>
    <w:rsid w:val="00B21A23"/>
    <w:rsid w:val="00B23CEF"/>
    <w:rsid w:val="00B251C6"/>
    <w:rsid w:val="00B27430"/>
    <w:rsid w:val="00B274D2"/>
    <w:rsid w:val="00B310F2"/>
    <w:rsid w:val="00B32C46"/>
    <w:rsid w:val="00B334E7"/>
    <w:rsid w:val="00B3353E"/>
    <w:rsid w:val="00B3418C"/>
    <w:rsid w:val="00B34586"/>
    <w:rsid w:val="00B347B7"/>
    <w:rsid w:val="00B3601D"/>
    <w:rsid w:val="00B36F18"/>
    <w:rsid w:val="00B402B7"/>
    <w:rsid w:val="00B41100"/>
    <w:rsid w:val="00B43D45"/>
    <w:rsid w:val="00B442FB"/>
    <w:rsid w:val="00B44D61"/>
    <w:rsid w:val="00B46297"/>
    <w:rsid w:val="00B47641"/>
    <w:rsid w:val="00B477A3"/>
    <w:rsid w:val="00B51E6C"/>
    <w:rsid w:val="00B52237"/>
    <w:rsid w:val="00B52BA8"/>
    <w:rsid w:val="00B5431D"/>
    <w:rsid w:val="00B55879"/>
    <w:rsid w:val="00B55B4C"/>
    <w:rsid w:val="00B564ED"/>
    <w:rsid w:val="00B571CA"/>
    <w:rsid w:val="00B6111C"/>
    <w:rsid w:val="00B63EB4"/>
    <w:rsid w:val="00B644CB"/>
    <w:rsid w:val="00B645EC"/>
    <w:rsid w:val="00B65847"/>
    <w:rsid w:val="00B702F2"/>
    <w:rsid w:val="00B71D0D"/>
    <w:rsid w:val="00B71E2B"/>
    <w:rsid w:val="00B72669"/>
    <w:rsid w:val="00B752FC"/>
    <w:rsid w:val="00B75914"/>
    <w:rsid w:val="00B759A5"/>
    <w:rsid w:val="00B762AC"/>
    <w:rsid w:val="00B76C94"/>
    <w:rsid w:val="00B76EC9"/>
    <w:rsid w:val="00B776F1"/>
    <w:rsid w:val="00B80F24"/>
    <w:rsid w:val="00B8352D"/>
    <w:rsid w:val="00B869CB"/>
    <w:rsid w:val="00B91DE4"/>
    <w:rsid w:val="00B93366"/>
    <w:rsid w:val="00B938D6"/>
    <w:rsid w:val="00B939AF"/>
    <w:rsid w:val="00B944A4"/>
    <w:rsid w:val="00B95A99"/>
    <w:rsid w:val="00B9604C"/>
    <w:rsid w:val="00BA0309"/>
    <w:rsid w:val="00BA0B3F"/>
    <w:rsid w:val="00BA1B26"/>
    <w:rsid w:val="00BA50B4"/>
    <w:rsid w:val="00BB1EE5"/>
    <w:rsid w:val="00BB3183"/>
    <w:rsid w:val="00BB6696"/>
    <w:rsid w:val="00BB7358"/>
    <w:rsid w:val="00BB76CE"/>
    <w:rsid w:val="00BB7794"/>
    <w:rsid w:val="00BB7F2B"/>
    <w:rsid w:val="00BC0A94"/>
    <w:rsid w:val="00BC2E27"/>
    <w:rsid w:val="00BC4C8C"/>
    <w:rsid w:val="00BC585B"/>
    <w:rsid w:val="00BC5A19"/>
    <w:rsid w:val="00BC6748"/>
    <w:rsid w:val="00BC6873"/>
    <w:rsid w:val="00BC6BCA"/>
    <w:rsid w:val="00BC6EB0"/>
    <w:rsid w:val="00BD1344"/>
    <w:rsid w:val="00BD4840"/>
    <w:rsid w:val="00BD58AF"/>
    <w:rsid w:val="00BD7884"/>
    <w:rsid w:val="00BD7A5E"/>
    <w:rsid w:val="00BE1C2C"/>
    <w:rsid w:val="00BE2F7A"/>
    <w:rsid w:val="00BE47D4"/>
    <w:rsid w:val="00BE4C37"/>
    <w:rsid w:val="00BE5C3D"/>
    <w:rsid w:val="00BE653C"/>
    <w:rsid w:val="00BF09FD"/>
    <w:rsid w:val="00BF1F60"/>
    <w:rsid w:val="00C0098A"/>
    <w:rsid w:val="00C02752"/>
    <w:rsid w:val="00C03914"/>
    <w:rsid w:val="00C04D74"/>
    <w:rsid w:val="00C07C4A"/>
    <w:rsid w:val="00C13631"/>
    <w:rsid w:val="00C14D9E"/>
    <w:rsid w:val="00C21C1A"/>
    <w:rsid w:val="00C21CCA"/>
    <w:rsid w:val="00C23F41"/>
    <w:rsid w:val="00C247DC"/>
    <w:rsid w:val="00C25160"/>
    <w:rsid w:val="00C2522A"/>
    <w:rsid w:val="00C2618F"/>
    <w:rsid w:val="00C30553"/>
    <w:rsid w:val="00C3193C"/>
    <w:rsid w:val="00C3398E"/>
    <w:rsid w:val="00C33AC3"/>
    <w:rsid w:val="00C33C01"/>
    <w:rsid w:val="00C34C81"/>
    <w:rsid w:val="00C4073F"/>
    <w:rsid w:val="00C410C4"/>
    <w:rsid w:val="00C411D0"/>
    <w:rsid w:val="00C454A7"/>
    <w:rsid w:val="00C4578A"/>
    <w:rsid w:val="00C462FA"/>
    <w:rsid w:val="00C513D8"/>
    <w:rsid w:val="00C52C1F"/>
    <w:rsid w:val="00C54E66"/>
    <w:rsid w:val="00C56F24"/>
    <w:rsid w:val="00C671BD"/>
    <w:rsid w:val="00C67451"/>
    <w:rsid w:val="00C6791C"/>
    <w:rsid w:val="00C70F03"/>
    <w:rsid w:val="00C71F87"/>
    <w:rsid w:val="00C74489"/>
    <w:rsid w:val="00C7513A"/>
    <w:rsid w:val="00C75D46"/>
    <w:rsid w:val="00C76100"/>
    <w:rsid w:val="00C76C18"/>
    <w:rsid w:val="00C77091"/>
    <w:rsid w:val="00C773BF"/>
    <w:rsid w:val="00C77A9F"/>
    <w:rsid w:val="00C80037"/>
    <w:rsid w:val="00C81239"/>
    <w:rsid w:val="00C83E03"/>
    <w:rsid w:val="00C868D7"/>
    <w:rsid w:val="00C91341"/>
    <w:rsid w:val="00C94034"/>
    <w:rsid w:val="00C94329"/>
    <w:rsid w:val="00C95795"/>
    <w:rsid w:val="00C96D5A"/>
    <w:rsid w:val="00C977C1"/>
    <w:rsid w:val="00CA04FB"/>
    <w:rsid w:val="00CA0DCE"/>
    <w:rsid w:val="00CA164E"/>
    <w:rsid w:val="00CA269F"/>
    <w:rsid w:val="00CA27E8"/>
    <w:rsid w:val="00CB0A46"/>
    <w:rsid w:val="00CB1630"/>
    <w:rsid w:val="00CB3090"/>
    <w:rsid w:val="00CB43A8"/>
    <w:rsid w:val="00CB791C"/>
    <w:rsid w:val="00CC0DBF"/>
    <w:rsid w:val="00CC0FFB"/>
    <w:rsid w:val="00CC219E"/>
    <w:rsid w:val="00CC7432"/>
    <w:rsid w:val="00CC744C"/>
    <w:rsid w:val="00CC7B35"/>
    <w:rsid w:val="00CD0CF0"/>
    <w:rsid w:val="00CD2A45"/>
    <w:rsid w:val="00CD37FD"/>
    <w:rsid w:val="00CD7188"/>
    <w:rsid w:val="00CD74B8"/>
    <w:rsid w:val="00CD7EC0"/>
    <w:rsid w:val="00CE0968"/>
    <w:rsid w:val="00CE18CC"/>
    <w:rsid w:val="00CE29C6"/>
    <w:rsid w:val="00CE5172"/>
    <w:rsid w:val="00CE5464"/>
    <w:rsid w:val="00CF21F7"/>
    <w:rsid w:val="00CF2CA0"/>
    <w:rsid w:val="00CF460E"/>
    <w:rsid w:val="00CF51DE"/>
    <w:rsid w:val="00D033BE"/>
    <w:rsid w:val="00D03D21"/>
    <w:rsid w:val="00D0422F"/>
    <w:rsid w:val="00D0723C"/>
    <w:rsid w:val="00D073DB"/>
    <w:rsid w:val="00D07783"/>
    <w:rsid w:val="00D079AC"/>
    <w:rsid w:val="00D10C0C"/>
    <w:rsid w:val="00D13014"/>
    <w:rsid w:val="00D13DAA"/>
    <w:rsid w:val="00D14300"/>
    <w:rsid w:val="00D14925"/>
    <w:rsid w:val="00D167F3"/>
    <w:rsid w:val="00D21E98"/>
    <w:rsid w:val="00D22F46"/>
    <w:rsid w:val="00D24057"/>
    <w:rsid w:val="00D25A49"/>
    <w:rsid w:val="00D2633B"/>
    <w:rsid w:val="00D26D82"/>
    <w:rsid w:val="00D276BD"/>
    <w:rsid w:val="00D30627"/>
    <w:rsid w:val="00D30FBC"/>
    <w:rsid w:val="00D31B2C"/>
    <w:rsid w:val="00D31E3B"/>
    <w:rsid w:val="00D325E9"/>
    <w:rsid w:val="00D352E3"/>
    <w:rsid w:val="00D35AAB"/>
    <w:rsid w:val="00D36A1B"/>
    <w:rsid w:val="00D37057"/>
    <w:rsid w:val="00D37EA1"/>
    <w:rsid w:val="00D42435"/>
    <w:rsid w:val="00D458CB"/>
    <w:rsid w:val="00D46009"/>
    <w:rsid w:val="00D47770"/>
    <w:rsid w:val="00D52A54"/>
    <w:rsid w:val="00D5332C"/>
    <w:rsid w:val="00D53D06"/>
    <w:rsid w:val="00D54BF5"/>
    <w:rsid w:val="00D54CF6"/>
    <w:rsid w:val="00D55A23"/>
    <w:rsid w:val="00D5679C"/>
    <w:rsid w:val="00D57106"/>
    <w:rsid w:val="00D622D8"/>
    <w:rsid w:val="00D64AF3"/>
    <w:rsid w:val="00D65FC1"/>
    <w:rsid w:val="00D66D61"/>
    <w:rsid w:val="00D71BEB"/>
    <w:rsid w:val="00D735A5"/>
    <w:rsid w:val="00D8177F"/>
    <w:rsid w:val="00D817AD"/>
    <w:rsid w:val="00D841DB"/>
    <w:rsid w:val="00D850FE"/>
    <w:rsid w:val="00D851F1"/>
    <w:rsid w:val="00D85C97"/>
    <w:rsid w:val="00D85D1E"/>
    <w:rsid w:val="00D86870"/>
    <w:rsid w:val="00D86A19"/>
    <w:rsid w:val="00D875D8"/>
    <w:rsid w:val="00D87899"/>
    <w:rsid w:val="00D9191B"/>
    <w:rsid w:val="00D92DE2"/>
    <w:rsid w:val="00D9312A"/>
    <w:rsid w:val="00D933F2"/>
    <w:rsid w:val="00D9536C"/>
    <w:rsid w:val="00DA02F2"/>
    <w:rsid w:val="00DA2C86"/>
    <w:rsid w:val="00DA2F62"/>
    <w:rsid w:val="00DA384A"/>
    <w:rsid w:val="00DA5724"/>
    <w:rsid w:val="00DA7BF5"/>
    <w:rsid w:val="00DA7F34"/>
    <w:rsid w:val="00DB11C9"/>
    <w:rsid w:val="00DB11FD"/>
    <w:rsid w:val="00DB46B8"/>
    <w:rsid w:val="00DB5D31"/>
    <w:rsid w:val="00DC2EAA"/>
    <w:rsid w:val="00DC30C4"/>
    <w:rsid w:val="00DC38BA"/>
    <w:rsid w:val="00DC60B9"/>
    <w:rsid w:val="00DC6B21"/>
    <w:rsid w:val="00DC71DC"/>
    <w:rsid w:val="00DD1580"/>
    <w:rsid w:val="00DD3FC7"/>
    <w:rsid w:val="00DD77D7"/>
    <w:rsid w:val="00DE1580"/>
    <w:rsid w:val="00DE4782"/>
    <w:rsid w:val="00DE6C00"/>
    <w:rsid w:val="00DE7363"/>
    <w:rsid w:val="00DF020D"/>
    <w:rsid w:val="00DF0B85"/>
    <w:rsid w:val="00DF0ECC"/>
    <w:rsid w:val="00DF16C4"/>
    <w:rsid w:val="00DF26A2"/>
    <w:rsid w:val="00DF3A1F"/>
    <w:rsid w:val="00DF48B4"/>
    <w:rsid w:val="00DF5288"/>
    <w:rsid w:val="00E04377"/>
    <w:rsid w:val="00E049D6"/>
    <w:rsid w:val="00E04BB9"/>
    <w:rsid w:val="00E04F3D"/>
    <w:rsid w:val="00E06CFC"/>
    <w:rsid w:val="00E07A9B"/>
    <w:rsid w:val="00E11B27"/>
    <w:rsid w:val="00E11EB1"/>
    <w:rsid w:val="00E12E1C"/>
    <w:rsid w:val="00E1329E"/>
    <w:rsid w:val="00E1662B"/>
    <w:rsid w:val="00E21286"/>
    <w:rsid w:val="00E21E91"/>
    <w:rsid w:val="00E243A9"/>
    <w:rsid w:val="00E25149"/>
    <w:rsid w:val="00E25920"/>
    <w:rsid w:val="00E2679F"/>
    <w:rsid w:val="00E3060A"/>
    <w:rsid w:val="00E3137D"/>
    <w:rsid w:val="00E3353B"/>
    <w:rsid w:val="00E37634"/>
    <w:rsid w:val="00E376EF"/>
    <w:rsid w:val="00E4033C"/>
    <w:rsid w:val="00E4155F"/>
    <w:rsid w:val="00E46B96"/>
    <w:rsid w:val="00E51D0D"/>
    <w:rsid w:val="00E52488"/>
    <w:rsid w:val="00E52C6E"/>
    <w:rsid w:val="00E52EFB"/>
    <w:rsid w:val="00E54BD3"/>
    <w:rsid w:val="00E556E3"/>
    <w:rsid w:val="00E573FE"/>
    <w:rsid w:val="00E61937"/>
    <w:rsid w:val="00E649B9"/>
    <w:rsid w:val="00E66C06"/>
    <w:rsid w:val="00E67540"/>
    <w:rsid w:val="00E67AD5"/>
    <w:rsid w:val="00E70286"/>
    <w:rsid w:val="00E70ABA"/>
    <w:rsid w:val="00E7133E"/>
    <w:rsid w:val="00E71DAC"/>
    <w:rsid w:val="00E720D9"/>
    <w:rsid w:val="00E7440D"/>
    <w:rsid w:val="00E74421"/>
    <w:rsid w:val="00E7586A"/>
    <w:rsid w:val="00E7734B"/>
    <w:rsid w:val="00E77637"/>
    <w:rsid w:val="00E77D6B"/>
    <w:rsid w:val="00E80550"/>
    <w:rsid w:val="00E82F91"/>
    <w:rsid w:val="00E8491D"/>
    <w:rsid w:val="00E8601E"/>
    <w:rsid w:val="00E861A7"/>
    <w:rsid w:val="00E91CF4"/>
    <w:rsid w:val="00E92B72"/>
    <w:rsid w:val="00E9400B"/>
    <w:rsid w:val="00E95D45"/>
    <w:rsid w:val="00E967F2"/>
    <w:rsid w:val="00E97CA3"/>
    <w:rsid w:val="00EA0510"/>
    <w:rsid w:val="00EA177B"/>
    <w:rsid w:val="00EB122B"/>
    <w:rsid w:val="00EB1FB8"/>
    <w:rsid w:val="00EB2241"/>
    <w:rsid w:val="00EB3414"/>
    <w:rsid w:val="00EB43AE"/>
    <w:rsid w:val="00EB6A1B"/>
    <w:rsid w:val="00EB6C6E"/>
    <w:rsid w:val="00EB750A"/>
    <w:rsid w:val="00EC1F07"/>
    <w:rsid w:val="00EC2694"/>
    <w:rsid w:val="00EC5FFF"/>
    <w:rsid w:val="00EC7C2C"/>
    <w:rsid w:val="00ED0E41"/>
    <w:rsid w:val="00ED2FA1"/>
    <w:rsid w:val="00ED5667"/>
    <w:rsid w:val="00ED616C"/>
    <w:rsid w:val="00EE0F8D"/>
    <w:rsid w:val="00EE0FAA"/>
    <w:rsid w:val="00EE143A"/>
    <w:rsid w:val="00EE2247"/>
    <w:rsid w:val="00EE4AFF"/>
    <w:rsid w:val="00EF1B8C"/>
    <w:rsid w:val="00EF2846"/>
    <w:rsid w:val="00EF5975"/>
    <w:rsid w:val="00EF6258"/>
    <w:rsid w:val="00F02440"/>
    <w:rsid w:val="00F04882"/>
    <w:rsid w:val="00F04953"/>
    <w:rsid w:val="00F05853"/>
    <w:rsid w:val="00F060FF"/>
    <w:rsid w:val="00F061C1"/>
    <w:rsid w:val="00F11EC2"/>
    <w:rsid w:val="00F13E97"/>
    <w:rsid w:val="00F14015"/>
    <w:rsid w:val="00F14FFA"/>
    <w:rsid w:val="00F15D7E"/>
    <w:rsid w:val="00F17B6F"/>
    <w:rsid w:val="00F17EE0"/>
    <w:rsid w:val="00F20C87"/>
    <w:rsid w:val="00F23E44"/>
    <w:rsid w:val="00F240CF"/>
    <w:rsid w:val="00F242BF"/>
    <w:rsid w:val="00F27BF1"/>
    <w:rsid w:val="00F27F72"/>
    <w:rsid w:val="00F300B7"/>
    <w:rsid w:val="00F31A5B"/>
    <w:rsid w:val="00F32E1B"/>
    <w:rsid w:val="00F33416"/>
    <w:rsid w:val="00F33655"/>
    <w:rsid w:val="00F35A4F"/>
    <w:rsid w:val="00F35EAC"/>
    <w:rsid w:val="00F36D2A"/>
    <w:rsid w:val="00F40846"/>
    <w:rsid w:val="00F40A80"/>
    <w:rsid w:val="00F40FDC"/>
    <w:rsid w:val="00F43E23"/>
    <w:rsid w:val="00F47F90"/>
    <w:rsid w:val="00F5150B"/>
    <w:rsid w:val="00F51808"/>
    <w:rsid w:val="00F5200D"/>
    <w:rsid w:val="00F521D2"/>
    <w:rsid w:val="00F53106"/>
    <w:rsid w:val="00F53206"/>
    <w:rsid w:val="00F532B1"/>
    <w:rsid w:val="00F54CF0"/>
    <w:rsid w:val="00F570C9"/>
    <w:rsid w:val="00F57561"/>
    <w:rsid w:val="00F5784B"/>
    <w:rsid w:val="00F6056B"/>
    <w:rsid w:val="00F63FA9"/>
    <w:rsid w:val="00F65378"/>
    <w:rsid w:val="00F66715"/>
    <w:rsid w:val="00F71D8E"/>
    <w:rsid w:val="00F72962"/>
    <w:rsid w:val="00F8275B"/>
    <w:rsid w:val="00F82C6C"/>
    <w:rsid w:val="00F8380B"/>
    <w:rsid w:val="00F843A6"/>
    <w:rsid w:val="00F84D92"/>
    <w:rsid w:val="00F85813"/>
    <w:rsid w:val="00F8704D"/>
    <w:rsid w:val="00F874FA"/>
    <w:rsid w:val="00F91992"/>
    <w:rsid w:val="00F934C0"/>
    <w:rsid w:val="00F95780"/>
    <w:rsid w:val="00F96929"/>
    <w:rsid w:val="00F9766F"/>
    <w:rsid w:val="00FA02F3"/>
    <w:rsid w:val="00FA11B2"/>
    <w:rsid w:val="00FA27EE"/>
    <w:rsid w:val="00FA4A0B"/>
    <w:rsid w:val="00FA694E"/>
    <w:rsid w:val="00FA7CEC"/>
    <w:rsid w:val="00FB296F"/>
    <w:rsid w:val="00FB36D1"/>
    <w:rsid w:val="00FB4F21"/>
    <w:rsid w:val="00FB587D"/>
    <w:rsid w:val="00FB5F28"/>
    <w:rsid w:val="00FB6F10"/>
    <w:rsid w:val="00FC0A51"/>
    <w:rsid w:val="00FC168D"/>
    <w:rsid w:val="00FC1996"/>
    <w:rsid w:val="00FC1CB7"/>
    <w:rsid w:val="00FC3274"/>
    <w:rsid w:val="00FC3612"/>
    <w:rsid w:val="00FC3DA6"/>
    <w:rsid w:val="00FC7C5E"/>
    <w:rsid w:val="00FD0915"/>
    <w:rsid w:val="00FD1082"/>
    <w:rsid w:val="00FD1237"/>
    <w:rsid w:val="00FD1A00"/>
    <w:rsid w:val="00FD29B3"/>
    <w:rsid w:val="00FD3583"/>
    <w:rsid w:val="00FD5A4A"/>
    <w:rsid w:val="00FE165D"/>
    <w:rsid w:val="00FE2CB1"/>
    <w:rsid w:val="00FE3A18"/>
    <w:rsid w:val="00FE5390"/>
    <w:rsid w:val="00FE56D0"/>
    <w:rsid w:val="00FE6643"/>
    <w:rsid w:val="00FE771A"/>
    <w:rsid w:val="00FE7B4C"/>
    <w:rsid w:val="00FF0D1E"/>
    <w:rsid w:val="00FF371A"/>
    <w:rsid w:val="00FF4836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9B74ED"/>
    <w:pPr>
      <w:jc w:val="center"/>
    </w:pPr>
    <w:rPr>
      <w:b/>
      <w:snapToGrid w:val="0"/>
      <w:color w:val="000000"/>
      <w:sz w:val="24"/>
    </w:rPr>
  </w:style>
  <w:style w:type="paragraph" w:styleId="stbilgi">
    <w:name w:val="header"/>
    <w:basedOn w:val="Normal"/>
    <w:rsid w:val="00FB4F2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B4F2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1DD1"/>
  </w:style>
  <w:style w:type="paragraph" w:styleId="BalonMetni">
    <w:name w:val="Balloon Text"/>
    <w:basedOn w:val="Normal"/>
    <w:link w:val="BalonMetniChar"/>
    <w:rsid w:val="000C28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C28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6646CD"/>
  </w:style>
  <w:style w:type="character" w:customStyle="1" w:styleId="DipnotMetniChar">
    <w:name w:val="Dipnot Metni Char"/>
    <w:basedOn w:val="VarsaylanParagrafYazTipi"/>
    <w:link w:val="DipnotMetni"/>
    <w:rsid w:val="006646CD"/>
  </w:style>
  <w:style w:type="character" w:styleId="DipnotBavurusu">
    <w:name w:val="footnote reference"/>
    <w:basedOn w:val="VarsaylanParagrafYazTipi"/>
    <w:rsid w:val="006646CD"/>
    <w:rPr>
      <w:vertAlign w:val="superscript"/>
    </w:rPr>
  </w:style>
  <w:style w:type="character" w:customStyle="1" w:styleId="bodycopymedium">
    <w:name w:val="bodycopymedium"/>
    <w:basedOn w:val="VarsaylanParagrafYazTipi"/>
    <w:rsid w:val="00BA50B4"/>
  </w:style>
  <w:style w:type="paragraph" w:styleId="NormalWeb">
    <w:name w:val="Normal (Web)"/>
    <w:basedOn w:val="Normal"/>
    <w:uiPriority w:val="99"/>
    <w:unhideWhenUsed/>
    <w:rsid w:val="00AC1EAF"/>
    <w:pPr>
      <w:spacing w:before="100" w:beforeAutospacing="1" w:after="100" w:afterAutospacing="1"/>
    </w:pPr>
    <w:rPr>
      <w:sz w:val="24"/>
      <w:szCs w:val="24"/>
    </w:rPr>
  </w:style>
  <w:style w:type="character" w:styleId="AklamaBavurusu">
    <w:name w:val="annotation reference"/>
    <w:basedOn w:val="VarsaylanParagrafYazTipi"/>
    <w:rsid w:val="004B4B49"/>
    <w:rPr>
      <w:sz w:val="16"/>
      <w:szCs w:val="16"/>
    </w:rPr>
  </w:style>
  <w:style w:type="paragraph" w:styleId="AklamaMetni">
    <w:name w:val="annotation text"/>
    <w:basedOn w:val="Normal"/>
    <w:link w:val="AklamaMetniChar"/>
    <w:rsid w:val="004B4B49"/>
  </w:style>
  <w:style w:type="character" w:customStyle="1" w:styleId="AklamaMetniChar">
    <w:name w:val="Açıklama Metni Char"/>
    <w:basedOn w:val="VarsaylanParagrafYazTipi"/>
    <w:link w:val="AklamaMetni"/>
    <w:rsid w:val="004B4B49"/>
  </w:style>
  <w:style w:type="paragraph" w:styleId="AklamaKonusu">
    <w:name w:val="annotation subject"/>
    <w:basedOn w:val="AklamaMetni"/>
    <w:next w:val="AklamaMetni"/>
    <w:link w:val="AklamaKonusuChar"/>
    <w:rsid w:val="004B4B49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B4B49"/>
    <w:rPr>
      <w:b/>
      <w:bCs/>
    </w:rPr>
  </w:style>
  <w:style w:type="paragraph" w:styleId="Dzeltme">
    <w:name w:val="Revision"/>
    <w:hidden/>
    <w:uiPriority w:val="99"/>
    <w:semiHidden/>
    <w:rsid w:val="007B6631"/>
  </w:style>
  <w:style w:type="paragraph" w:styleId="ListeParagraf">
    <w:name w:val="List Paragraph"/>
    <w:basedOn w:val="Normal"/>
    <w:uiPriority w:val="34"/>
    <w:qFormat/>
    <w:rsid w:val="00EC5FFF"/>
    <w:pPr>
      <w:ind w:left="720"/>
      <w:contextualSpacing/>
    </w:pPr>
  </w:style>
  <w:style w:type="table" w:styleId="TabloKlavuzu">
    <w:name w:val="Table Grid"/>
    <w:basedOn w:val="NormalTablo"/>
    <w:rsid w:val="00F53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4E90-CF20-4F69-A266-DFD1C77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b.i.m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uygulama</dc:creator>
  <cp:lastModifiedBy>dokuzoglui</cp:lastModifiedBy>
  <cp:revision>26</cp:revision>
  <cp:lastPrinted>2012-08-07T12:11:00Z</cp:lastPrinted>
  <dcterms:created xsi:type="dcterms:W3CDTF">2013-02-01T15:55:00Z</dcterms:created>
  <dcterms:modified xsi:type="dcterms:W3CDTF">2013-05-02T12:40:00Z</dcterms:modified>
</cp:coreProperties>
</file>