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3CC4" w:rsidR="00E8248B" w:rsidP="00E8248B" w:rsidRDefault="00E8248B">
      <w:pPr>
        <w:jc w:val="center"/>
        <w:rPr>
          <w:rFonts w:cstheme="minorHAnsi"/>
          <w:b/>
          <w:bCs/>
          <w:noProof/>
          <w:color w:val="000000" w:themeColor="text1"/>
          <w:sz w:val="40"/>
          <w:szCs w:val="40"/>
          <w:lang w:eastAsia="tr-TR"/>
        </w:rPr>
      </w:pPr>
      <w:r w:rsidRPr="00973CC4">
        <w:rPr>
          <w:rFonts w:cstheme="minorHAnsi"/>
          <w:b/>
          <w:noProof/>
          <w:sz w:val="24"/>
          <w:szCs w:val="24"/>
          <w:lang w:eastAsia="tr-TR"/>
        </w:rPr>
        <w:drawing>
          <wp:inline distT="0" distB="0" distL="0" distR="0" wp14:anchorId="30170921" wp14:editId="7EC5F267">
            <wp:extent cx="2326530" cy="10191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55038" cy="1031664"/>
                    </a:xfrm>
                    <a:prstGeom prst="rect">
                      <a:avLst/>
                    </a:prstGeom>
                    <a:noFill/>
                    <a:ln w="9525">
                      <a:noFill/>
                      <a:miter lim="800000"/>
                      <a:headEnd/>
                      <a:tailEnd/>
                    </a:ln>
                  </pic:spPr>
                </pic:pic>
              </a:graphicData>
            </a:graphic>
          </wp:inline>
        </w:drawing>
      </w:r>
    </w:p>
    <w:p w:rsidRPr="00973CC4" w:rsidR="00E8248B" w:rsidP="00E8248B" w:rsidRDefault="00E8248B">
      <w:pPr>
        <w:jc w:val="center"/>
        <w:rPr>
          <w:rFonts w:cstheme="minorHAnsi"/>
          <w:b/>
          <w:bCs/>
          <w:noProof/>
          <w:color w:val="000000" w:themeColor="text1"/>
          <w:sz w:val="40"/>
          <w:szCs w:val="40"/>
          <w:lang w:eastAsia="tr-TR"/>
        </w:rPr>
      </w:pPr>
    </w:p>
    <w:p w:rsidRPr="00973CC4" w:rsidR="00E8248B" w:rsidP="00E8248B" w:rsidRDefault="00E8248B">
      <w:pPr>
        <w:jc w:val="center"/>
        <w:rPr>
          <w:rFonts w:cstheme="minorHAnsi"/>
          <w:b/>
          <w:bCs/>
          <w:color w:val="000000" w:themeColor="text1"/>
          <w:sz w:val="40"/>
          <w:szCs w:val="40"/>
        </w:rPr>
      </w:pPr>
      <w:r>
        <w:rPr>
          <w:rFonts w:cstheme="minorHAnsi"/>
          <w:b/>
          <w:bCs/>
          <w:noProof/>
          <w:color w:val="000000" w:themeColor="text1"/>
          <w:sz w:val="40"/>
          <w:szCs w:val="40"/>
          <w:lang w:eastAsia="tr-TR"/>
        </w:rPr>
        <w:t>Gana</w:t>
      </w:r>
      <w:r w:rsidRPr="00973CC4">
        <w:rPr>
          <w:rFonts w:cstheme="minorHAnsi"/>
          <w:b/>
          <w:bCs/>
          <w:color w:val="000000" w:themeColor="text1"/>
          <w:sz w:val="40"/>
          <w:szCs w:val="40"/>
        </w:rPr>
        <w:t xml:space="preserve"> Ülke Raporu</w:t>
      </w:r>
    </w:p>
    <w:p w:rsidRPr="00973CC4" w:rsidR="00E8248B" w:rsidP="00E8248B" w:rsidRDefault="00E8248B">
      <w:pPr>
        <w:jc w:val="center"/>
        <w:rPr>
          <w:rFonts w:cstheme="minorHAnsi"/>
          <w:b/>
          <w:bCs/>
          <w:color w:val="000000" w:themeColor="text1"/>
          <w:sz w:val="40"/>
          <w:szCs w:val="40"/>
        </w:rPr>
      </w:pPr>
      <w:r w:rsidRPr="00973CC4">
        <w:rPr>
          <w:rFonts w:cstheme="minorHAnsi"/>
          <w:b/>
          <w:bCs/>
          <w:color w:val="000000" w:themeColor="text1"/>
          <w:sz w:val="40"/>
          <w:szCs w:val="40"/>
        </w:rPr>
        <w:t>(Otomotiv Sektörü Açısından)</w:t>
      </w: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r w:rsidRPr="00E8248B">
        <w:rPr>
          <w:rStyle w:val="Gl"/>
          <w:rFonts w:cs="Tahoma" w:asciiTheme="minorHAnsi" w:hAnsiTheme="minorHAnsi"/>
          <w:noProof/>
          <w:color w:val="000000"/>
          <w:sz w:val="44"/>
          <w:szCs w:val="20"/>
          <w:bdr w:val="none" w:color="auto" w:sz="0" w:space="0" w:frame="1"/>
        </w:rPr>
        <w:drawing>
          <wp:inline distT="0" distB="0" distL="0" distR="0">
            <wp:extent cx="2619375" cy="1743075"/>
            <wp:effectExtent l="0" t="0" r="9525" b="9525"/>
            <wp:docPr id="1" name="Resim 1" descr="C:\Users\gulh\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h\Desktop\indir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Pr="00973CC4" w:rsidR="00E8248B" w:rsidP="00E8248B" w:rsidRDefault="00E8248B">
      <w:pPr>
        <w:jc w:val="center"/>
        <w:rPr>
          <w:rFonts w:cstheme="minorHAnsi"/>
          <w:b/>
          <w:bCs/>
          <w:color w:val="000000" w:themeColor="text1"/>
          <w:sz w:val="32"/>
          <w:szCs w:val="32"/>
        </w:rPr>
      </w:pPr>
      <w:r w:rsidRPr="00973CC4">
        <w:rPr>
          <w:rFonts w:cstheme="minorHAnsi"/>
          <w:b/>
          <w:bCs/>
          <w:color w:val="000000" w:themeColor="text1"/>
          <w:sz w:val="32"/>
          <w:szCs w:val="32"/>
        </w:rPr>
        <w:t>Uludağ İhracatçı Birlikleri Genel Sekreterliği</w:t>
      </w:r>
    </w:p>
    <w:p w:rsidRPr="00973CC4" w:rsidR="00E8248B" w:rsidP="00E8248B" w:rsidRDefault="00E8248B">
      <w:pPr>
        <w:jc w:val="center"/>
        <w:rPr>
          <w:rFonts w:cstheme="minorHAnsi"/>
          <w:b/>
          <w:bCs/>
          <w:color w:val="000000" w:themeColor="text1"/>
          <w:sz w:val="32"/>
          <w:szCs w:val="32"/>
        </w:rPr>
      </w:pPr>
      <w:r w:rsidRPr="00973CC4">
        <w:rPr>
          <w:rFonts w:cstheme="minorHAnsi"/>
          <w:b/>
          <w:bCs/>
          <w:color w:val="000000" w:themeColor="text1"/>
          <w:sz w:val="32"/>
          <w:szCs w:val="32"/>
        </w:rPr>
        <w:t>Ar-Ge Şubesi</w:t>
      </w:r>
    </w:p>
    <w:p w:rsidRPr="00973CC4" w:rsidR="00E8248B" w:rsidP="00E8248B" w:rsidRDefault="00E8248B">
      <w:pPr>
        <w:jc w:val="center"/>
        <w:rPr>
          <w:rFonts w:cstheme="minorHAnsi"/>
          <w:b/>
          <w:bCs/>
          <w:color w:val="000000" w:themeColor="text1"/>
          <w:sz w:val="32"/>
          <w:szCs w:val="32"/>
        </w:rPr>
      </w:pPr>
      <w:r w:rsidRPr="00973CC4">
        <w:rPr>
          <w:rFonts w:cstheme="minorHAnsi"/>
          <w:b/>
          <w:bCs/>
          <w:color w:val="000000" w:themeColor="text1"/>
          <w:sz w:val="32"/>
          <w:szCs w:val="32"/>
        </w:rPr>
        <w:t>Aralık, 2019</w:t>
      </w: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E8248B" w:rsidP="00F24C34" w:rsidRDefault="00E8248B">
      <w:pPr>
        <w:pStyle w:val="NormalWeb"/>
        <w:shd w:val="clear" w:color="auto" w:fill="FFFFFF"/>
        <w:tabs>
          <w:tab w:val="center" w:pos="7001"/>
          <w:tab w:val="left" w:pos="13065"/>
        </w:tabs>
        <w:spacing w:before="0" w:beforeAutospacing="0" w:after="0" w:afterAutospacing="0"/>
        <w:jc w:val="center"/>
        <w:textAlignment w:val="baseline"/>
        <w:rPr>
          <w:rStyle w:val="Gl"/>
          <w:rFonts w:cs="Tahoma" w:asciiTheme="minorHAnsi" w:hAnsiTheme="minorHAnsi"/>
          <w:color w:val="000000"/>
          <w:sz w:val="44"/>
          <w:szCs w:val="20"/>
          <w:bdr w:val="none" w:color="auto" w:sz="0" w:space="0" w:frame="1"/>
        </w:rPr>
      </w:pPr>
    </w:p>
    <w:p w:rsidR="00F24C34" w:rsidP="00F24C34" w:rsidRDefault="00F24C34">
      <w:pPr>
        <w:shd w:val="clear" w:color="auto" w:fill="FFFFFF"/>
        <w:spacing w:after="0" w:line="240" w:lineRule="auto"/>
        <w:textAlignment w:val="baseline"/>
        <w:rPr>
          <w:rFonts w:ascii="Tahoma" w:hAnsi="Tahoma" w:eastAsia="Times New Roman" w:cs="Tahoma"/>
          <w:b/>
          <w:color w:val="000000"/>
          <w:sz w:val="20"/>
          <w:szCs w:val="20"/>
          <w:lang w:eastAsia="tr-TR"/>
        </w:rPr>
      </w:pPr>
    </w:p>
    <w:p w:rsidRPr="00022AE5" w:rsidR="002E545A" w:rsidP="002E545A" w:rsidRDefault="002E545A">
      <w:pPr>
        <w:spacing w:after="160" w:line="259" w:lineRule="auto"/>
        <w:jc w:val="center"/>
        <w:rPr>
          <w:rFonts w:cs="Tahoma"/>
          <w:bCs/>
          <w:color w:val="000000"/>
          <w:sz w:val="44"/>
          <w:szCs w:val="20"/>
          <w:bdr w:val="none" w:color="auto" w:sz="0" w:space="0" w:frame="1"/>
        </w:rPr>
      </w:pPr>
      <w:r w:rsidRPr="00022AE5">
        <w:rPr>
          <w:rFonts w:eastAsia="Times New Roman" w:cs="Times New Roman"/>
          <w:b/>
          <w:color w:val="244061" w:themeColor="accent1" w:themeShade="80"/>
          <w:sz w:val="52"/>
          <w:lang w:eastAsia="tr-TR"/>
        </w:rPr>
        <w:lastRenderedPageBreak/>
        <w:t>İÇİNDEKİLER</w:t>
      </w:r>
    </w:p>
    <w:p w:rsidRPr="00022AE5" w:rsidR="002E545A" w:rsidP="002E545A" w:rsidRDefault="002E545A">
      <w:pPr>
        <w:spacing w:after="160" w:line="259" w:lineRule="auto"/>
        <w:jc w:val="center"/>
        <w:rPr>
          <w:rFonts w:eastAsia="Times New Roman" w:cs="Tahoma"/>
          <w:b/>
          <w:bCs/>
          <w:color w:val="000000"/>
          <w:sz w:val="44"/>
          <w:szCs w:val="20"/>
          <w:bdr w:val="none" w:color="auto" w:sz="0" w:space="0" w:frame="1"/>
          <w:lang w:eastAsia="tr-TR"/>
        </w:rPr>
      </w:pPr>
    </w:p>
    <w:p w:rsidRPr="00022AE5" w:rsidR="002E545A" w:rsidP="002E545A" w:rsidRDefault="002E545A">
      <w:pPr>
        <w:spacing w:after="160" w:line="259" w:lineRule="auto"/>
        <w:jc w:val="center"/>
        <w:rPr>
          <w:rFonts w:eastAsia="Times New Roman" w:cs="Tahoma"/>
          <w:b/>
          <w:bCs/>
          <w:color w:val="000000"/>
          <w:sz w:val="44"/>
          <w:szCs w:val="20"/>
          <w:bdr w:val="none" w:color="auto" w:sz="0" w:space="0" w:frame="1"/>
          <w:lang w:eastAsia="tr-TR"/>
        </w:rPr>
      </w:pPr>
    </w:p>
    <w:p w:rsidRPr="00022AE5" w:rsidR="002E545A" w:rsidP="002E545A" w:rsidRDefault="002E545A">
      <w:pPr>
        <w:spacing w:after="0" w:line="360" w:lineRule="auto"/>
        <w:jc w:val="both"/>
        <w:rPr>
          <w:rFonts w:eastAsia="Times New Roman" w:cs="Times New Roman"/>
          <w:color w:val="0F243E"/>
          <w:sz w:val="24"/>
          <w:lang w:eastAsia="tr-TR"/>
        </w:rPr>
      </w:pPr>
      <w:r w:rsidRPr="00022AE5">
        <w:rPr>
          <w:rFonts w:eastAsia="Times New Roman" w:cs="Times New Roman"/>
          <w:b/>
          <w:bCs/>
          <w:color w:val="0F243E"/>
          <w:sz w:val="24"/>
          <w:lang w:eastAsia="tr-TR"/>
        </w:rPr>
        <w:t>1.</w:t>
      </w:r>
      <w:r w:rsidRPr="00022AE5">
        <w:t xml:space="preserve"> </w:t>
      </w:r>
      <w:r w:rsidRPr="00022AE5">
        <w:rPr>
          <w:rFonts w:eastAsia="Times New Roman" w:cs="Times New Roman"/>
          <w:b/>
          <w:bCs/>
          <w:color w:val="0F243E"/>
          <w:sz w:val="24"/>
          <w:lang w:eastAsia="tr-TR"/>
        </w:rPr>
        <w:t xml:space="preserve">GENEL EKONOMİK DURUM </w:t>
      </w:r>
      <w:r w:rsidRPr="00022AE5">
        <w:rPr>
          <w:rFonts w:eastAsia="Times New Roman" w:cs="Times New Roman"/>
          <w:color w:val="0F243E"/>
          <w:sz w:val="24"/>
          <w:lang w:eastAsia="tr-TR"/>
        </w:rPr>
        <w:ptab w:alignment="right" w:relativeTo="margin" w:leader="dot"/>
      </w:r>
      <w:r w:rsidRPr="00022AE5">
        <w:rPr>
          <w:rFonts w:eastAsia="Times New Roman" w:cs="Times New Roman"/>
          <w:b/>
          <w:bCs/>
          <w:color w:val="0F243E"/>
          <w:sz w:val="24"/>
          <w:lang w:eastAsia="tr-TR"/>
        </w:rPr>
        <w:t>3</w:t>
      </w:r>
    </w:p>
    <w:p w:rsidRPr="00022AE5" w:rsidR="002E545A" w:rsidP="002E545A" w:rsidRDefault="002E545A">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2.</w:t>
      </w:r>
      <w:r w:rsidRPr="00022AE5">
        <w:rPr>
          <w:rFonts w:eastAsia="Times New Roman" w:cs="Times New Roman"/>
          <w:lang w:eastAsia="tr-TR"/>
        </w:rPr>
        <w:t xml:space="preserve"> </w:t>
      </w:r>
      <w:r>
        <w:rPr>
          <w:rFonts w:eastAsia="Times New Roman" w:cs="Times New Roman"/>
          <w:b/>
          <w:bCs/>
          <w:color w:val="0F243E"/>
          <w:sz w:val="24"/>
          <w:lang w:eastAsia="tr-TR"/>
        </w:rPr>
        <w:t>GANA</w:t>
      </w:r>
      <w:r w:rsidRPr="00022AE5">
        <w:rPr>
          <w:rFonts w:eastAsia="Times New Roman" w:cs="Times New Roman"/>
          <w:b/>
          <w:bCs/>
          <w:color w:val="0F243E"/>
          <w:sz w:val="24"/>
          <w:lang w:eastAsia="tr-TR"/>
        </w:rPr>
        <w:t>’</w:t>
      </w:r>
      <w:r>
        <w:rPr>
          <w:rFonts w:eastAsia="Times New Roman" w:cs="Times New Roman"/>
          <w:b/>
          <w:bCs/>
          <w:color w:val="0F243E"/>
          <w:sz w:val="24"/>
          <w:lang w:eastAsia="tr-TR"/>
        </w:rPr>
        <w:t>N</w:t>
      </w:r>
      <w:r w:rsidRPr="00022AE5">
        <w:rPr>
          <w:rFonts w:eastAsia="Times New Roman" w:cs="Times New Roman"/>
          <w:b/>
          <w:bCs/>
          <w:color w:val="0F243E"/>
          <w:sz w:val="24"/>
          <w:lang w:eastAsia="tr-TR"/>
        </w:rPr>
        <w:t>IN</w:t>
      </w:r>
      <w:r w:rsidRPr="00022AE5">
        <w:rPr>
          <w:rFonts w:eastAsia="Times New Roman" w:cs="Times New Roman"/>
          <w:lang w:eastAsia="tr-TR"/>
        </w:rPr>
        <w:t xml:space="preserve"> </w:t>
      </w:r>
      <w:r w:rsidRPr="00022AE5">
        <w:rPr>
          <w:rFonts w:eastAsia="Times New Roman" w:cs="Times New Roman"/>
          <w:b/>
          <w:bCs/>
          <w:color w:val="0F243E"/>
          <w:sz w:val="24"/>
          <w:lang w:eastAsia="tr-TR"/>
        </w:rPr>
        <w:t xml:space="preserve">DIŞ TİCARETİ </w:t>
      </w:r>
      <w:r w:rsidRPr="00022AE5">
        <w:rPr>
          <w:rFonts w:eastAsia="Times New Roman" w:cs="Times New Roman"/>
          <w:color w:val="0F243E"/>
          <w:sz w:val="24"/>
          <w:lang w:eastAsia="tr-TR"/>
        </w:rPr>
        <w:ptab w:alignment="right" w:relativeTo="margin" w:leader="dot"/>
      </w:r>
      <w:r>
        <w:rPr>
          <w:rFonts w:eastAsia="Times New Roman" w:cs="Times New Roman"/>
          <w:b/>
          <w:color w:val="0F243E"/>
          <w:sz w:val="24"/>
          <w:lang w:eastAsia="tr-TR"/>
        </w:rPr>
        <w:t>5</w:t>
      </w:r>
    </w:p>
    <w:p w:rsidRPr="00022AE5" w:rsidR="002E545A" w:rsidP="002E545A" w:rsidRDefault="002E545A">
      <w:pPr>
        <w:spacing w:after="0" w:line="360" w:lineRule="auto"/>
        <w:jc w:val="both"/>
        <w:rPr>
          <w:rFonts w:eastAsia="Calibri" w:cs="Times New Roman"/>
          <w:b/>
          <w:color w:val="0F243E"/>
          <w:sz w:val="24"/>
        </w:rPr>
      </w:pPr>
      <w:r w:rsidRPr="00535A55">
        <w:rPr>
          <w:rFonts w:eastAsia="Times New Roman" w:cs="Times New Roman"/>
          <w:b/>
          <w:bCs/>
          <w:sz w:val="24"/>
          <w:lang w:eastAsia="tr-TR"/>
        </w:rPr>
        <w:t>3.</w:t>
      </w:r>
      <w:r w:rsidRPr="00535A55">
        <w:rPr>
          <w:rFonts w:eastAsia="Calibri" w:cs="Times New Roman"/>
        </w:rPr>
        <w:t xml:space="preserve"> </w:t>
      </w:r>
      <w:r w:rsidRPr="00535A55">
        <w:rPr>
          <w:rFonts w:eastAsia="Times New Roman" w:cs="Times New Roman"/>
          <w:b/>
          <w:bCs/>
          <w:sz w:val="24"/>
          <w:lang w:eastAsia="tr-TR"/>
        </w:rPr>
        <w:t xml:space="preserve">TÜRKİYE İLE TİCARET </w:t>
      </w:r>
      <w:r w:rsidRPr="00022AE5">
        <w:rPr>
          <w:rFonts w:eastAsia="Calibri" w:cs="Times New Roman"/>
          <w:color w:val="0F243E"/>
          <w:sz w:val="24"/>
        </w:rPr>
        <w:ptab w:alignment="right" w:relativeTo="margin" w:leader="dot"/>
      </w:r>
      <w:r w:rsidR="002B6627">
        <w:rPr>
          <w:rFonts w:eastAsia="Calibri" w:cs="Times New Roman"/>
          <w:b/>
          <w:color w:val="0F243E"/>
          <w:sz w:val="24"/>
        </w:rPr>
        <w:t>9</w:t>
      </w:r>
      <w:bookmarkStart w:name="_GoBack" w:id="0"/>
      <w:bookmarkEnd w:id="0"/>
    </w:p>
    <w:p w:rsidRPr="00022AE5" w:rsidR="002E545A" w:rsidP="002E545A" w:rsidRDefault="002E545A">
      <w:pPr>
        <w:spacing w:after="0" w:line="360" w:lineRule="auto"/>
        <w:jc w:val="both"/>
        <w:rPr>
          <w:rFonts w:eastAsia="Times New Roman" w:cs="Times New Roman"/>
          <w:b/>
          <w:bCs/>
          <w:color w:val="0F243E"/>
          <w:sz w:val="24"/>
          <w:lang w:eastAsia="tr-TR"/>
        </w:rPr>
      </w:pPr>
      <w:r>
        <w:rPr>
          <w:rFonts w:eastAsia="Times New Roman" w:cs="Times New Roman"/>
          <w:b/>
          <w:bCs/>
          <w:color w:val="0F243E"/>
          <w:sz w:val="24"/>
          <w:lang w:eastAsia="tr-TR"/>
        </w:rPr>
        <w:t>4.GANA</w:t>
      </w:r>
      <w:r w:rsidRPr="00022AE5">
        <w:rPr>
          <w:rFonts w:eastAsia="Times New Roman" w:cs="Times New Roman"/>
          <w:b/>
          <w:bCs/>
          <w:color w:val="0F243E"/>
          <w:sz w:val="24"/>
          <w:lang w:eastAsia="tr-TR"/>
        </w:rPr>
        <w:t>’</w:t>
      </w:r>
      <w:r>
        <w:rPr>
          <w:rFonts w:eastAsia="Times New Roman" w:cs="Times New Roman"/>
          <w:b/>
          <w:bCs/>
          <w:color w:val="0F243E"/>
          <w:sz w:val="24"/>
          <w:lang w:eastAsia="tr-TR"/>
        </w:rPr>
        <w:t>N</w:t>
      </w:r>
      <w:r w:rsidRPr="00022AE5">
        <w:rPr>
          <w:rFonts w:eastAsia="Times New Roman" w:cs="Times New Roman"/>
          <w:b/>
          <w:bCs/>
          <w:color w:val="0F243E"/>
          <w:sz w:val="24"/>
          <w:lang w:eastAsia="tr-TR"/>
        </w:rPr>
        <w:t xml:space="preserve">IN OTOMOTİV SEKTÖRÜ AÇISINDAN DEĞERLENDİRİLMESİ </w:t>
      </w:r>
      <w:r w:rsidRPr="00022AE5">
        <w:rPr>
          <w:rFonts w:eastAsia="Calibri" w:cs="Times New Roman"/>
          <w:color w:val="0F243E"/>
          <w:sz w:val="24"/>
        </w:rPr>
        <w:ptab w:alignment="right" w:relativeTo="margin" w:leader="dot"/>
      </w:r>
      <w:r w:rsidR="002B6627">
        <w:rPr>
          <w:rFonts w:eastAsia="Times New Roman" w:cs="Times New Roman"/>
          <w:b/>
          <w:bCs/>
          <w:color w:val="0F243E"/>
          <w:sz w:val="24"/>
          <w:lang w:eastAsia="tr-TR"/>
        </w:rPr>
        <w:t>11</w:t>
      </w:r>
    </w:p>
    <w:p w:rsidRPr="00022AE5" w:rsidR="002E545A" w:rsidP="002E545A" w:rsidRDefault="002E545A">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5.İŞ ADAMLARININ PAZARDA DİKKAT ETMESİ GEREKEN HUSUSLAR</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Pr>
          <w:rFonts w:eastAsia="Times New Roman" w:cs="Times New Roman"/>
          <w:b/>
          <w:bCs/>
          <w:color w:val="0F243E"/>
          <w:sz w:val="24"/>
          <w:lang w:eastAsia="tr-TR"/>
        </w:rPr>
        <w:t>2</w:t>
      </w:r>
    </w:p>
    <w:p w:rsidRPr="00022AE5" w:rsidR="002E545A" w:rsidP="002E545A" w:rsidRDefault="002E545A">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 xml:space="preserve">KAYNAKLAR </w:t>
      </w:r>
      <w:r w:rsidRPr="00022AE5">
        <w:rPr>
          <w:rFonts w:eastAsia="Calibri" w:cs="Times New Roman"/>
          <w:color w:val="0F243E"/>
          <w:sz w:val="24"/>
        </w:rPr>
        <w:ptab w:alignment="right" w:relativeTo="margin" w:leader="dot"/>
      </w:r>
      <w:r>
        <w:rPr>
          <w:rFonts w:eastAsia="Times New Roman" w:cs="Times New Roman"/>
          <w:b/>
          <w:bCs/>
          <w:color w:val="0F243E"/>
          <w:sz w:val="24"/>
          <w:lang w:eastAsia="tr-TR"/>
        </w:rPr>
        <w:t>1</w:t>
      </w:r>
      <w:r w:rsidR="002B6627">
        <w:rPr>
          <w:rFonts w:eastAsia="Times New Roman" w:cs="Times New Roman"/>
          <w:b/>
          <w:bCs/>
          <w:color w:val="0F243E"/>
          <w:sz w:val="24"/>
          <w:lang w:eastAsia="tr-TR"/>
        </w:rPr>
        <w:t>4</w:t>
      </w:r>
    </w:p>
    <w:p w:rsidRPr="00022AE5" w:rsidR="002E545A" w:rsidP="002E545A" w:rsidRDefault="002E545A">
      <w:pPr>
        <w:spacing w:after="160" w:line="259" w:lineRule="auto"/>
        <w:rPr>
          <w:rFonts w:eastAsia="Times New Roman" w:cs="Tahoma"/>
          <w:b/>
          <w:bCs/>
          <w:color w:val="000000"/>
          <w:sz w:val="44"/>
          <w:szCs w:val="20"/>
          <w:bdr w:val="none" w:color="auto" w:sz="0" w:space="0" w:frame="1"/>
          <w:lang w:eastAsia="tr-TR"/>
        </w:rPr>
      </w:pPr>
      <w:r w:rsidRPr="00022AE5">
        <w:rPr>
          <w:rFonts w:cs="Tahoma"/>
          <w:b/>
          <w:bCs/>
          <w:color w:val="000000"/>
          <w:sz w:val="44"/>
          <w:szCs w:val="20"/>
          <w:bdr w:val="none" w:color="auto" w:sz="0" w:space="0" w:frame="1"/>
        </w:rPr>
        <w:br w:type="page"/>
      </w:r>
    </w:p>
    <w:p w:rsidRPr="003720FE" w:rsidR="00F24C34" w:rsidP="00F24C34" w:rsidRDefault="00F24C34">
      <w:pPr>
        <w:shd w:val="clear" w:color="auto" w:fill="FFFFFF"/>
        <w:spacing w:after="0" w:line="240" w:lineRule="auto"/>
        <w:jc w:val="center"/>
        <w:textAlignment w:val="baseline"/>
        <w:rPr>
          <w:rFonts w:eastAsia="Times New Roman" w:cstheme="minorHAnsi"/>
          <w:b/>
          <w:i/>
          <w:color w:val="000000"/>
          <w:u w:val="single"/>
          <w:lang w:eastAsia="tr-TR"/>
        </w:rPr>
      </w:pPr>
      <w:r w:rsidRPr="003720FE">
        <w:rPr>
          <w:rFonts w:eastAsia="Times New Roman" w:cstheme="minorHAnsi"/>
          <w:b/>
          <w:color w:val="000000"/>
          <w:lang w:eastAsia="tr-TR"/>
        </w:rPr>
        <w:lastRenderedPageBreak/>
        <w:t>Büyüme Oranı:</w:t>
      </w:r>
      <w:r w:rsidRPr="003720FE" w:rsidR="00E8248B">
        <w:rPr>
          <w:rFonts w:eastAsia="Times New Roman" w:cstheme="minorHAnsi"/>
          <w:b/>
          <w:color w:val="000000"/>
          <w:lang w:eastAsia="tr-TR"/>
        </w:rPr>
        <w:t xml:space="preserve"> </w:t>
      </w:r>
      <w:r w:rsidRPr="003720FE" w:rsidR="00E8248B">
        <w:rPr>
          <w:rFonts w:eastAsia="Times New Roman" w:cstheme="minorHAnsi"/>
          <w:color w:val="000000"/>
          <w:lang w:eastAsia="tr-TR"/>
        </w:rPr>
        <w:t xml:space="preserve">7,5 (2019 Tahmini) </w:t>
      </w:r>
      <w:r w:rsidRPr="003720FE">
        <w:rPr>
          <w:rFonts w:eastAsia="Times New Roman" w:cstheme="minorHAnsi"/>
          <w:b/>
          <w:color w:val="000000"/>
          <w:lang w:eastAsia="tr-TR"/>
        </w:rPr>
        <w:t>GSYİH:</w:t>
      </w:r>
      <w:r w:rsidRPr="003720FE">
        <w:rPr>
          <w:rFonts w:eastAsia="Times New Roman" w:cstheme="minorHAnsi"/>
          <w:color w:val="000000"/>
          <w:lang w:eastAsia="tr-TR"/>
        </w:rPr>
        <w:t xml:space="preserve"> </w:t>
      </w:r>
      <w:r w:rsidRPr="003720FE" w:rsidR="003720FE">
        <w:rPr>
          <w:rFonts w:eastAsia="Times New Roman" w:cstheme="minorHAnsi"/>
          <w:color w:val="000000"/>
          <w:lang w:eastAsia="tr-TR"/>
        </w:rPr>
        <w:t>134 milyar USD (2017 CIA Factbook tahmini)</w:t>
      </w:r>
      <w:r w:rsidRPr="003720FE">
        <w:rPr>
          <w:rFonts w:eastAsia="Times New Roman" w:cstheme="minorHAnsi"/>
          <w:b/>
          <w:color w:val="000000"/>
          <w:lang w:eastAsia="tr-TR"/>
        </w:rPr>
        <w:t>Nüfus:</w:t>
      </w:r>
      <w:r w:rsidRPr="003720FE" w:rsidR="00E8248B">
        <w:rPr>
          <w:rFonts w:eastAsia="Times New Roman" w:cstheme="minorHAnsi"/>
          <w:color w:val="000000"/>
          <w:lang w:eastAsia="tr-TR"/>
        </w:rPr>
        <w:t>30.168 milyon (IMF)</w:t>
      </w:r>
      <w:r w:rsidRPr="003720FE">
        <w:rPr>
          <w:rFonts w:eastAsia="Times New Roman" w:cstheme="minorHAnsi"/>
          <w:lang w:eastAsia="tr-TR"/>
        </w:rPr>
        <w:t xml:space="preserve"> </w:t>
      </w:r>
      <w:r w:rsidRPr="003720FE">
        <w:rPr>
          <w:rFonts w:eastAsia="Times New Roman" w:cstheme="minorHAnsi"/>
          <w:color w:val="000000"/>
          <w:lang w:eastAsia="tr-TR"/>
        </w:rPr>
        <w:t xml:space="preserve">  </w:t>
      </w:r>
      <w:r w:rsidRPr="003720FE">
        <w:rPr>
          <w:rFonts w:eastAsia="Times New Roman" w:cstheme="minorHAnsi"/>
          <w:b/>
          <w:color w:val="000000"/>
          <w:lang w:eastAsia="tr-TR"/>
        </w:rPr>
        <w:t>Başkent:</w:t>
      </w:r>
      <w:r w:rsidRPr="003720FE">
        <w:rPr>
          <w:rFonts w:eastAsia="Times New Roman" w:cstheme="minorHAnsi"/>
          <w:color w:val="000000"/>
          <w:lang w:eastAsia="tr-TR"/>
        </w:rPr>
        <w:t xml:space="preserve"> </w:t>
      </w:r>
      <w:r w:rsidRPr="003720FE" w:rsidR="00E8248B">
        <w:rPr>
          <w:rFonts w:eastAsia="Times New Roman" w:cstheme="minorHAnsi"/>
          <w:color w:val="000000"/>
          <w:lang w:eastAsia="tr-TR"/>
        </w:rPr>
        <w:t xml:space="preserve">Akra </w:t>
      </w:r>
      <w:r w:rsidRPr="003720FE">
        <w:rPr>
          <w:rFonts w:eastAsia="Times New Roman" w:cstheme="minorHAnsi"/>
          <w:b/>
          <w:color w:val="000000"/>
          <w:lang w:eastAsia="tr-TR"/>
        </w:rPr>
        <w:t xml:space="preserve">Para Birimi: </w:t>
      </w:r>
      <w:r w:rsidRPr="003720FE" w:rsidR="00E8248B">
        <w:rPr>
          <w:rFonts w:eastAsia="Times New Roman" w:cstheme="minorHAnsi"/>
          <w:color w:val="000000"/>
          <w:lang w:eastAsia="tr-TR"/>
        </w:rPr>
        <w:t>Gana Cedisi</w:t>
      </w:r>
    </w:p>
    <w:p w:rsidRPr="003720FE" w:rsidR="00D21EE8" w:rsidRDefault="00D21EE8">
      <w:pPr>
        <w:rPr>
          <w:rFonts w:cstheme="minorHAnsi"/>
        </w:rPr>
      </w:pPr>
    </w:p>
    <w:p w:rsidRPr="002E545A" w:rsidR="001215AD" w:rsidP="00D21EE8" w:rsidRDefault="00D21EE8">
      <w:pPr>
        <w:pStyle w:val="NormalWeb"/>
        <w:spacing w:before="0" w:beforeAutospacing="0"/>
        <w:jc w:val="both"/>
        <w:rPr>
          <w:rStyle w:val="Gl"/>
          <w:rFonts w:asciiTheme="minorHAnsi" w:hAnsiTheme="minorHAnsi" w:cstheme="minorHAnsi"/>
          <w:color w:val="212529"/>
          <w:sz w:val="28"/>
          <w:szCs w:val="28"/>
          <w:shd w:val="clear" w:color="auto" w:fill="FFFFFF"/>
        </w:rPr>
      </w:pPr>
      <w:r w:rsidRPr="002E545A">
        <w:rPr>
          <w:rStyle w:val="Gl"/>
          <w:rFonts w:asciiTheme="minorHAnsi" w:hAnsiTheme="minorHAnsi" w:cstheme="minorHAnsi"/>
          <w:color w:val="212529"/>
          <w:sz w:val="28"/>
          <w:szCs w:val="28"/>
          <w:shd w:val="clear" w:color="auto" w:fill="FFFFFF"/>
        </w:rPr>
        <w:t>GENEL EKONOMİK DURUM</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Son yıllarda ekonomide önemli bir büyüme hızı yakalamış olan Gana,  özellikle 2000’li yıllardan sonra uluslararası ilişkilerini de hızla güçlendirmektedir. Özellikle Birleşmiş Milletler Genel Sekreterliği yapmış olan Kofi Annan ile dünyaya açılması ivme kazanmış olan Gana, içinde bulunduğumuz dönemde Afrika ülkeleri içinde adından en çok söz edilen ülkeler arasında yer almaktadır. Ayrıca, 2008 yılında Afrika Futbol finallerinin Gana’da düzenlenmiş ve başarıyla gerçekleştirilmiş olması nedeniyle tüm dünya medyasında yaklaşık 1 ay süre ile gündemde kalmış ve çok önemli gelişme sinyalleri vermiştir.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2017 yılı itibarıyla GSYİH’sı 59 milyar dolar olarak gerçekleşen ve 2018 yılında da 65,2 milyar dolara yükseldiği tahmin edilen  Gana’da tarım sektörünün  GSYİH’ya katkısı son yıllarda önemli ölçüde azalarak %35’lerden %19’a gerilemiştir. Hizmetler sektörü GSYİH’dan  %56 civarında pay almakta, sanayinin GSYİH’ya katkısı ise %25 olup, sanayi sektörü içinde değerlendirilen madencilik ve petrol sektörünün ise %10 düzeyindedir. 2018 yılı itibariyle petrol üretim ve ihracatının önemli ölçüde artış göstermesi nedeniyle GSYİH’da petrolün payı önemli ölçüde artış göstermiş 1-2 yıl içerisinde de %15’in üzerine çıkması beklenmektedir. Gana’nın GSYİH’sı son yıllarda önemli gelişme göstermiştir. GSYİH 2011 yılında  %14,4 gibi rekor düzeyde göstermiş olup,, 2017 yılında  yaklaşık %8,1’lik bir büyüme göstermiş, 2018 yılında ise %5,6 oranında yükseldiği tahmin edilmektedir.</w:t>
      </w:r>
    </w:p>
    <w:p w:rsidRPr="003720FE" w:rsidR="001215AD" w:rsidP="00D21EE8" w:rsidRDefault="00D21EE8">
      <w:pPr>
        <w:pStyle w:val="NormalWeb"/>
        <w:spacing w:before="0" w:beforeAutospacing="0"/>
        <w:jc w:val="both"/>
        <w:rPr>
          <w:rFonts w:asciiTheme="minorHAnsi" w:hAnsiTheme="minorHAnsi" w:cstheme="minorHAnsi"/>
          <w:color w:val="212529"/>
          <w:sz w:val="22"/>
          <w:szCs w:val="22"/>
        </w:rPr>
      </w:pPr>
      <w:r w:rsidRPr="003720FE">
        <w:rPr>
          <w:rFonts w:asciiTheme="minorHAnsi" w:hAnsiTheme="minorHAnsi" w:cstheme="minorHAnsi"/>
          <w:color w:val="212529"/>
          <w:sz w:val="22"/>
          <w:szCs w:val="22"/>
          <w:shd w:val="clear" w:color="auto" w:fill="FFFFFF"/>
        </w:rPr>
        <w:t>Tarım sektörü, ekonominin temeli olup, çalışan nüfusun yaklaşık %55’i tarım sektöründe istihdam edilmektedir. Ülkede ekonomik anlamda en önemli tarımsal ürün kakaodur. Kakao aynı zamanda altın madeni ile birlikte Gana’nın en önemli ihraç kalemi olup, tarımsal ürünler içerisinde kakaoyu ormancılık ürünleri, sebzeler, deniz ürünleri ve ananas takip etmektedir. Tarım sektörü uluslararası piyasalardaki fiyat dalgalanmalarına açık olan bir sektördür. Tarımdaki ürün çeşitliliğini arttırma çalışmaları sınırlı kalmaktadır.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Hizmetler sektörü GSYİH’nın %30’unu oluşturmaktadır. Hizmetler sektöründe en büyük alt sektör hükümetçe sağlanan hizmetlerle bankacılık faaliyetleridir. Bunu turizm, perakendecilik, restoran ve otel işletmeciliği izlemektedir. Telekomünikasyon hizmetleri sektörü içerisinde gittikçe önem kazanmaya başlamıştır.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Sanayi sektörleri içerisinde de gıda işleme sanayi, içecekler, tütün sanayi, tekstil, hazır giyim, ayakkabı, kereste, kimya ve kozmetik sanayi ile alüminyum sanayi ve çelik sanayi ülkede başlıca kurulu sanayiler olup, en önemli yeri tutmaktadırlar. Bu sanayilerin tamamı başlangıçta devletçe kurulmuş olmakla beraber bugün çoğunlukla özelleştirilmişlerdir.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GSYİH’ya katkısı %5-6 seviyesinde olan madencilik sektöründe en önemli faaliyet alanını altın madenciliği oluşturmaktadır.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xml:space="preserve">Gana’da tarım sektöründeki sağlıklı gelişmenin devam etmesi, altın madeni üretiminin önemli ölçüde artması petrol üretimi ve hizmetler sektöründe beklenen olumlu gelişmelerin devam etmesi neticesinde önümüzdeki yıllarda %5’in üzerinde büyüme hızının yakalanabileceği öngörülmektedir. Gana’da önümüzdeki süreçte özellikle haberleşme ve inşaat sektörlerindeki önemli gelişmelerin devam etmesi </w:t>
      </w:r>
      <w:r w:rsidRPr="003720FE">
        <w:rPr>
          <w:rFonts w:asciiTheme="minorHAnsi" w:hAnsiTheme="minorHAnsi" w:cstheme="minorHAnsi"/>
          <w:color w:val="212529"/>
          <w:sz w:val="22"/>
          <w:szCs w:val="22"/>
          <w:shd w:val="clear" w:color="auto" w:fill="FFFFFF"/>
        </w:rPr>
        <w:lastRenderedPageBreak/>
        <w:t>beklenmektedir. Gana’da 1997 yılında petrol yatakları keşfedilmeye başlanmış olup, petrol yatakları ülkenin özellikle kıyı kesimlerinde yer almaktadır. Gana’da şu an için toplam 2 milyar varilin üzerinde petrol varlığı tespit edilmiş olup, günlük petrol üretiminin  200 bin varil civarında olduğu bildirilmektedir. Önümüzdeki dört yıl içerisinde de günlük petrol üretiminin 450 bin varilin üzerine çıkması beklenmektedir. Ülkede son yıllarda keşfedilen petrol rezervleriyle Afrika’da önemli bir petrol üreticisi konumuna gelebilecek olan Gana’nın 2021 yılı itibariyle Afrika’nın dördüncü büyük petrol üreticisi olması beklenmektedir. 2018 yılı itibariyle 5 milyar doların üzerine çıkan petrol ihracatının birkaç yıl içerisinde 9-10 milyar dolara ulaşması beklenmektedir.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Ülkeden 2011 yılının Ocak ayından itibaren petrol ihracatı da başlamıştır. Ülkede petrol arama faaliyetleri devam etmekte olup ülkede keşfedilmemiş zengin petrol yataklarının bulunduğu tahmin edilmektedir. Ülkede petrol sektöründe yetişmiş kalifiye eleman sıkıntısı çekilmekte bu yüzden yurt dışından önemli sayıda yetişmiş eleman Gana’ya gelmektedir.</w:t>
      </w:r>
    </w:p>
    <w:p w:rsidR="00C8699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Gana’da son dönemlerde uygulanan ekonomi politikaları başlıca kamu harcamalarının rantabıl kullanımı, kamu gelirlerinin artırılması, iş ve yatırım imkanlarının artırılması, kredi kullanım imkanlarının genişletilmesi ve özel sektörün desteklenmesi konularında yoğunlaşmıştır. Bunların dışında altyapı yatırımlarına öncelik verilmesi, yoksulluğun giderilmesi ve petrol üretim ve ihracatının artırılması konuları Gana hükümetlerinin üzerinde durdukları önemli konuları oluşturmaktadır.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Gana, yoğun bir özelleştirme programı üstlenmiş bulunmaktadır. Bununla birlikte, son yıllarda özelleştirme programı yavaş ilerlemektedir. Gana’da son yıllarda özelleştirilmiş olan veya özelleştirilmesi düşünülen başlıca kuruluşlar: Volta Nehir İşletmesi (En önemli elektrik üretim ve dağıtım şirketidir.), Gana Su Şirketi (Greater Accra bölgesine hizmet vermektedir.), Tema Petrol Rafinerisi (Ülke içinde tüketilen tüm rafine petrol ürünlerini üretmektedir.), Gana Elektrik Şirketi (Elektriğin başlıca dağımcısı olan şirkettir.) ve Gana Ticaret Bankası-GCB (aktif ve mevduat büyüklüğü bakımından en büyük ticari bankadır.) ‘dır.</w:t>
      </w:r>
    </w:p>
    <w:p w:rsidRPr="003720FE" w:rsidR="001215AD" w:rsidP="00D21EE8" w:rsidRDefault="00D21EE8">
      <w:pPr>
        <w:pStyle w:val="NormalWeb"/>
        <w:spacing w:before="0" w:beforeAutospacing="0"/>
        <w:jc w:val="both"/>
        <w:rPr>
          <w:rStyle w:val="Gl"/>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rPr>
        <w:br/>
      </w:r>
      <w:r w:rsidRPr="003720FE">
        <w:rPr>
          <w:rStyle w:val="Gl"/>
          <w:rFonts w:asciiTheme="minorHAnsi" w:hAnsiTheme="minorHAnsi" w:cstheme="minorHAnsi"/>
          <w:color w:val="212529"/>
          <w:sz w:val="22"/>
          <w:szCs w:val="22"/>
          <w:shd w:val="clear" w:color="auto" w:fill="FFFFFF"/>
        </w:rPr>
        <w:t>İmalat Sanayi</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Afrika ülkesi olarak Gana’nın sanayisi göreceli bir çeşitliliğe sahiptir. Ülke, alüminyum eritme işletmeleri, kereste işleme, gıda işleme, çimento, petrol işleme, tekstil, elektronik, ilaç, madencilik v.b. çok çeşitli sanayi kollarına sahiptir. Sanayi alanındaki bu çeşitlilik bağımsızlık sonrasında kendine yeterli bir ülke yaratma çabasından kaynaklanmıştır.</w:t>
      </w:r>
    </w:p>
    <w:p w:rsidRPr="003720FE" w:rsidR="001215A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1983 yılında yürürlüğe giren ekonomik iyileştirme programı ile imalat sanayinde çeşitli düzenlemelere gidilmiştir. Sübvansiyonların azaltılması ve sektörleri rekabete açık hale getirecek düzenlemelerin yapılması firmaların bazılarını kapanmaya, bazılarını da ayakta kalabilmek için performanslarını artırmaya itmiştir. Ülkede en iyi gelişme gösteren sektörler tekstil, hazır giyim, metal, plastik ve demir dışı metal ürünler sektörüdür.</w:t>
      </w:r>
    </w:p>
    <w:p w:rsidR="00C8699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Zaman zaman ülkede  yaşanan enerji sıkıntısı fabrikaları kapasitelerinin altında çalışmaya itmekte ve bu durumda sanayi üretimi de düşüş göstermektedir. Bu durumdan özellikle üretimleri büyük ölçüde enerji üretimine dayanan çelik ve alüminyum üreticileri büyük zarar görmektedir.</w:t>
      </w:r>
    </w:p>
    <w:p w:rsidR="00C8699D" w:rsidP="00D21EE8" w:rsidRDefault="00D21EE8">
      <w:pPr>
        <w:pStyle w:val="NormalWeb"/>
        <w:spacing w:before="0" w:beforeAutospacing="0"/>
        <w:jc w:val="both"/>
        <w:rPr>
          <w:rFonts w:asciiTheme="minorHAnsi" w:hAnsiTheme="minorHAnsi" w:cstheme="minorHAnsi"/>
          <w:color w:val="212529"/>
          <w:sz w:val="22"/>
          <w:szCs w:val="22"/>
        </w:rPr>
      </w:pPr>
      <w:r w:rsidRPr="003720FE">
        <w:rPr>
          <w:rFonts w:asciiTheme="minorHAnsi" w:hAnsiTheme="minorHAnsi" w:cstheme="minorHAnsi"/>
          <w:color w:val="212529"/>
          <w:sz w:val="22"/>
          <w:szCs w:val="22"/>
        </w:rPr>
        <w:br/>
      </w:r>
      <w:r w:rsidRPr="003720FE">
        <w:rPr>
          <w:rFonts w:asciiTheme="minorHAnsi" w:hAnsiTheme="minorHAnsi" w:cstheme="minorHAnsi"/>
          <w:color w:val="212529"/>
          <w:sz w:val="22"/>
          <w:szCs w:val="22"/>
          <w:shd w:val="clear" w:color="auto" w:fill="FFFFFF"/>
        </w:rPr>
        <w:t> </w:t>
      </w:r>
      <w:r w:rsidRPr="003720FE">
        <w:rPr>
          <w:rFonts w:asciiTheme="minorHAnsi" w:hAnsiTheme="minorHAnsi" w:cstheme="minorHAnsi"/>
          <w:color w:val="212529"/>
          <w:sz w:val="22"/>
          <w:szCs w:val="22"/>
        </w:rPr>
        <w:br/>
      </w:r>
      <w:r w:rsidRPr="003720FE">
        <w:rPr>
          <w:rFonts w:asciiTheme="minorHAnsi" w:hAnsiTheme="minorHAnsi" w:cstheme="minorHAnsi"/>
          <w:color w:val="212529"/>
          <w:sz w:val="22"/>
          <w:szCs w:val="22"/>
          <w:shd w:val="clear" w:color="auto" w:fill="FFFFFF"/>
        </w:rPr>
        <w:lastRenderedPageBreak/>
        <w:t>Ülkede  gıda ve içecek, çimento ve odun kimyasalları gibi sektörler son yıllarda beklenen gelişmeleri gösterememişler ve bu sektörlerdeki gelişmeler diğer sektörlerin gerisinde kalmıştır.</w:t>
      </w:r>
    </w:p>
    <w:p w:rsidR="00C8699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Hükümet sanayi sektörüne son yıllarda büyük önem vermeye başlamış ve sektöre çeşitli teşvikler getirmiş olmasına rağmen, harcanabilir gelir açısından pazarın sınırlı büyüklükte olması, hammadde ve üretim maliyetlerinin yüksekliği, eski makina ve ekipman kullanımı ve iş gücü maliyetlerinin de nispeten yüksek olması gibi nedenlerle sanayideki gelişme sınırlı kalmaktadır.</w:t>
      </w:r>
    </w:p>
    <w:p w:rsidR="00C8699D" w:rsidP="00D21EE8" w:rsidRDefault="00D21EE8">
      <w:pPr>
        <w:pStyle w:val="NormalWeb"/>
        <w:spacing w:before="0" w:beforeAutospacing="0"/>
        <w:jc w:val="both"/>
        <w:rPr>
          <w:rFonts w:asciiTheme="minorHAnsi" w:hAnsiTheme="minorHAnsi" w:cstheme="minorHAnsi"/>
          <w:color w:val="212529"/>
          <w:sz w:val="22"/>
          <w:szCs w:val="22"/>
          <w:shd w:val="clear" w:color="auto" w:fill="FFFFFF"/>
        </w:rPr>
      </w:pPr>
      <w:r w:rsidRPr="003720FE">
        <w:rPr>
          <w:rFonts w:asciiTheme="minorHAnsi" w:hAnsiTheme="minorHAnsi" w:cstheme="minorHAnsi"/>
          <w:color w:val="212529"/>
          <w:sz w:val="22"/>
          <w:szCs w:val="22"/>
          <w:shd w:val="clear" w:color="auto" w:fill="FFFFFF"/>
        </w:rPr>
        <w:t xml:space="preserve">Gana’da imalat sanayinde petro kimya sanayinin payı %24, gıda sanayinin payı %16, deri, tekstil ve </w:t>
      </w:r>
      <w:r w:rsidRPr="003720FE" w:rsidR="001215AD">
        <w:rPr>
          <w:rFonts w:asciiTheme="minorHAnsi" w:hAnsiTheme="minorHAnsi" w:cstheme="minorHAnsi"/>
          <w:color w:val="212529"/>
          <w:sz w:val="22"/>
          <w:szCs w:val="22"/>
          <w:shd w:val="clear" w:color="auto" w:fill="FFFFFF"/>
        </w:rPr>
        <w:t>hazır giyim</w:t>
      </w:r>
      <w:r w:rsidRPr="003720FE">
        <w:rPr>
          <w:rFonts w:asciiTheme="minorHAnsi" w:hAnsiTheme="minorHAnsi" w:cstheme="minorHAnsi"/>
          <w:color w:val="212529"/>
          <w:sz w:val="22"/>
          <w:szCs w:val="22"/>
          <w:shd w:val="clear" w:color="auto" w:fill="FFFFFF"/>
        </w:rPr>
        <w:t xml:space="preserve"> sanayinin payı ise %15 düzeyindedir. Bu sanayileri sırasıyla %9’luk payı ile demir dışı metal </w:t>
      </w:r>
      <w:r w:rsidRPr="003720FE" w:rsidR="001215AD">
        <w:rPr>
          <w:rFonts w:asciiTheme="minorHAnsi" w:hAnsiTheme="minorHAnsi" w:cstheme="minorHAnsi"/>
          <w:color w:val="212529"/>
          <w:sz w:val="22"/>
          <w:szCs w:val="22"/>
          <w:shd w:val="clear" w:color="auto" w:fill="FFFFFF"/>
        </w:rPr>
        <w:t>sanayi ve</w:t>
      </w:r>
      <w:r w:rsidRPr="003720FE">
        <w:rPr>
          <w:rFonts w:asciiTheme="minorHAnsi" w:hAnsiTheme="minorHAnsi" w:cstheme="minorHAnsi"/>
          <w:color w:val="212529"/>
          <w:sz w:val="22"/>
          <w:szCs w:val="22"/>
          <w:shd w:val="clear" w:color="auto" w:fill="FFFFFF"/>
        </w:rPr>
        <w:t xml:space="preserve"> %8,5lik payı ile de tütün ve tütün </w:t>
      </w:r>
      <w:r w:rsidRPr="003720FE" w:rsidR="001215AD">
        <w:rPr>
          <w:rFonts w:asciiTheme="minorHAnsi" w:hAnsiTheme="minorHAnsi" w:cstheme="minorHAnsi"/>
          <w:color w:val="212529"/>
          <w:sz w:val="22"/>
          <w:szCs w:val="22"/>
          <w:shd w:val="clear" w:color="auto" w:fill="FFFFFF"/>
        </w:rPr>
        <w:t>mamulleri</w:t>
      </w:r>
      <w:r w:rsidRPr="003720FE">
        <w:rPr>
          <w:rFonts w:asciiTheme="minorHAnsi" w:hAnsiTheme="minorHAnsi" w:cstheme="minorHAnsi"/>
          <w:color w:val="212529"/>
          <w:sz w:val="22"/>
          <w:szCs w:val="22"/>
          <w:shd w:val="clear" w:color="auto" w:fill="FFFFFF"/>
        </w:rPr>
        <w:t xml:space="preserve"> sanayi takip etmektedir.</w:t>
      </w:r>
    </w:p>
    <w:p w:rsidRPr="002E545A" w:rsidR="001215AD" w:rsidP="00D21EE8" w:rsidRDefault="00D21EE8">
      <w:pPr>
        <w:pStyle w:val="NormalWeb"/>
        <w:spacing w:before="0" w:beforeAutospacing="0"/>
        <w:jc w:val="both"/>
        <w:rPr>
          <w:rFonts w:asciiTheme="minorHAnsi" w:hAnsiTheme="minorHAnsi" w:cstheme="minorHAnsi"/>
          <w:color w:val="212529"/>
          <w:sz w:val="28"/>
          <w:szCs w:val="28"/>
        </w:rPr>
      </w:pPr>
      <w:r w:rsidRPr="003720FE">
        <w:rPr>
          <w:rFonts w:asciiTheme="minorHAnsi" w:hAnsiTheme="minorHAnsi" w:cstheme="minorHAnsi"/>
          <w:color w:val="212529"/>
          <w:sz w:val="22"/>
          <w:szCs w:val="22"/>
        </w:rPr>
        <w:br/>
      </w:r>
      <w:r w:rsidRPr="002E545A">
        <w:rPr>
          <w:rFonts w:asciiTheme="minorHAnsi" w:hAnsiTheme="minorHAnsi" w:cstheme="minorHAnsi"/>
          <w:color w:val="212529"/>
          <w:sz w:val="28"/>
          <w:szCs w:val="28"/>
          <w:shd w:val="clear" w:color="auto" w:fill="FFFFFF"/>
        </w:rPr>
        <w:t> </w:t>
      </w:r>
      <w:r w:rsidRPr="002E545A">
        <w:rPr>
          <w:rFonts w:asciiTheme="minorHAnsi" w:hAnsiTheme="minorHAnsi" w:cstheme="minorHAnsi"/>
          <w:b/>
          <w:bCs/>
          <w:color w:val="212529"/>
          <w:sz w:val="28"/>
          <w:szCs w:val="28"/>
        </w:rPr>
        <w:t>GANA’NIN DIŞ TİCARETİ</w:t>
      </w:r>
    </w:p>
    <w:p w:rsidRPr="003720FE" w:rsidR="001215AD" w:rsidP="00D21EE8" w:rsidRDefault="00D21EE8">
      <w:pPr>
        <w:pStyle w:val="NormalWeb"/>
        <w:spacing w:before="0" w:beforeAutospacing="0"/>
        <w:jc w:val="both"/>
        <w:rPr>
          <w:rFonts w:asciiTheme="minorHAnsi" w:hAnsiTheme="minorHAnsi" w:cstheme="minorHAnsi"/>
          <w:color w:val="212529"/>
          <w:sz w:val="22"/>
          <w:szCs w:val="22"/>
        </w:rPr>
      </w:pPr>
      <w:r w:rsidRPr="003720FE">
        <w:rPr>
          <w:rFonts w:asciiTheme="minorHAnsi" w:hAnsiTheme="minorHAnsi" w:cstheme="minorHAnsi"/>
          <w:color w:val="212529"/>
          <w:sz w:val="22"/>
          <w:szCs w:val="22"/>
        </w:rPr>
        <w:t xml:space="preserve">Gana’nın dış ticareti diğer </w:t>
      </w:r>
      <w:r w:rsidRPr="003720FE" w:rsidR="001215AD">
        <w:rPr>
          <w:rFonts w:asciiTheme="minorHAnsi" w:hAnsiTheme="minorHAnsi" w:cstheme="minorHAnsi"/>
          <w:color w:val="212529"/>
          <w:sz w:val="22"/>
          <w:szCs w:val="22"/>
        </w:rPr>
        <w:t>birçok</w:t>
      </w:r>
      <w:r w:rsidRPr="003720FE">
        <w:rPr>
          <w:rFonts w:asciiTheme="minorHAnsi" w:hAnsiTheme="minorHAnsi" w:cstheme="minorHAnsi"/>
          <w:color w:val="212529"/>
          <w:sz w:val="22"/>
          <w:szCs w:val="22"/>
        </w:rPr>
        <w:t xml:space="preserve"> Afrika ülkesinde olduğu gibi genel olarak büyük açık vermekte iken 2018 yılı itibariyle uzun yıllar ilk kez önemli fazlalık vermiştir.2017 yılında 11,4 milyar dolarlık ihracata karşılık 13,7 milyar dolar ithalat gerçekleşmiş ve dış ticaret 2,3 milyar dolar açık vermiş iken 2018 yılında  17 milyar doların üzerine çıkan ihracata karşın 11,9 milyar dolarlık ithalat gerçekleşmiş ve dış ticaret 5,2 milyar dolar fazlalık vermiştir. İhracat 2018 yılında rekor düzeyde artarak 1</w:t>
      </w:r>
      <w:r w:rsidRPr="003720FE" w:rsidR="001215AD">
        <w:rPr>
          <w:rFonts w:asciiTheme="minorHAnsi" w:hAnsiTheme="minorHAnsi" w:cstheme="minorHAnsi"/>
          <w:color w:val="212529"/>
          <w:sz w:val="22"/>
          <w:szCs w:val="22"/>
        </w:rPr>
        <w:t>7,1 milyar dolara yükselmiştir.</w:t>
      </w:r>
    </w:p>
    <w:p w:rsidRPr="003720FE" w:rsidR="001215AD" w:rsidP="00D21EE8" w:rsidRDefault="00D21EE8">
      <w:pPr>
        <w:pStyle w:val="NormalWeb"/>
        <w:spacing w:before="0" w:beforeAutospacing="0"/>
        <w:jc w:val="both"/>
        <w:rPr>
          <w:rFonts w:asciiTheme="minorHAnsi" w:hAnsiTheme="minorHAnsi" w:cstheme="minorHAnsi"/>
          <w:color w:val="212529"/>
          <w:sz w:val="22"/>
          <w:szCs w:val="22"/>
        </w:rPr>
      </w:pPr>
      <w:r w:rsidRPr="003720FE">
        <w:rPr>
          <w:rFonts w:asciiTheme="minorHAnsi" w:hAnsiTheme="minorHAnsi" w:cstheme="minorHAnsi"/>
          <w:color w:val="212529"/>
          <w:sz w:val="22"/>
          <w:szCs w:val="22"/>
        </w:rPr>
        <w:t> </w:t>
      </w:r>
      <w:r w:rsidRPr="003720FE">
        <w:rPr>
          <w:rFonts w:asciiTheme="minorHAnsi" w:hAnsiTheme="minorHAnsi" w:cstheme="minorHAnsi"/>
          <w:color w:val="212529"/>
          <w:sz w:val="22"/>
          <w:szCs w:val="22"/>
        </w:rPr>
        <w:br/>
      </w:r>
      <w:r w:rsidRPr="003720FE">
        <w:rPr>
          <w:rFonts w:asciiTheme="minorHAnsi" w:hAnsiTheme="minorHAnsi" w:cstheme="minorHAnsi"/>
          <w:b/>
          <w:bCs/>
          <w:color w:val="212529"/>
          <w:sz w:val="22"/>
          <w:szCs w:val="22"/>
        </w:rPr>
        <w:t>Gana’nın Yıllar İtibarı ile Dış Ticaretinin Görünümü (milyon $)*</w:t>
      </w:r>
      <w:r w:rsidRPr="003720FE">
        <w:rPr>
          <w:rFonts w:asciiTheme="minorHAnsi" w:hAnsiTheme="minorHAnsi" w:cstheme="minorHAnsi"/>
          <w:color w:val="212529"/>
          <w:sz w:val="22"/>
          <w:szCs w:val="22"/>
        </w:rPr>
        <w:t>   </w:t>
      </w:r>
    </w:p>
    <w:tbl>
      <w:tblPr>
        <w:tblW w:w="0" w:type="auto"/>
        <w:tblInd w:w="468" w:type="dxa"/>
        <w:tblCellMar>
          <w:left w:w="0" w:type="dxa"/>
          <w:right w:w="0" w:type="dxa"/>
        </w:tblCellMar>
        <w:tblLook w:val="04A0" w:firstRow="1" w:lastRow="0" w:firstColumn="1" w:lastColumn="0" w:noHBand="0" w:noVBand="1"/>
      </w:tblPr>
      <w:tblGrid>
        <w:gridCol w:w="1005"/>
        <w:gridCol w:w="1296"/>
        <w:gridCol w:w="1410"/>
        <w:gridCol w:w="1410"/>
        <w:gridCol w:w="1410"/>
        <w:gridCol w:w="1410"/>
      </w:tblGrid>
      <w:tr w:rsidRPr="003720FE" w:rsidR="00D21EE8" w:rsidTr="001215AD">
        <w:tc>
          <w:tcPr>
            <w:tcW w:w="10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12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b/>
                <w:bCs/>
                <w:color w:val="000000"/>
                <w:vertAlign w:val="superscript"/>
                <w:lang w:eastAsia="tr-TR"/>
              </w:rPr>
              <w:t>2010</w:t>
            </w:r>
          </w:p>
        </w:tc>
        <w:tc>
          <w:tcPr>
            <w:tcW w:w="14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b/>
                <w:bCs/>
                <w:color w:val="000000"/>
                <w:vertAlign w:val="superscript"/>
                <w:lang w:eastAsia="tr-TR"/>
              </w:rPr>
              <w:t>2015          </w:t>
            </w:r>
          </w:p>
        </w:tc>
        <w:tc>
          <w:tcPr>
            <w:tcW w:w="14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b/>
                <w:bCs/>
                <w:color w:val="000000"/>
                <w:vertAlign w:val="superscript"/>
                <w:lang w:eastAsia="tr-TR"/>
              </w:rPr>
              <w:t>2016</w:t>
            </w:r>
          </w:p>
        </w:tc>
        <w:tc>
          <w:tcPr>
            <w:tcW w:w="14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b/>
                <w:bCs/>
                <w:color w:val="000000"/>
                <w:vertAlign w:val="superscript"/>
                <w:lang w:eastAsia="tr-TR"/>
              </w:rPr>
              <w:t>2017</w:t>
            </w:r>
          </w:p>
        </w:tc>
        <w:tc>
          <w:tcPr>
            <w:tcW w:w="14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b/>
                <w:bCs/>
                <w:color w:val="000000"/>
                <w:vertAlign w:val="superscript"/>
                <w:lang w:eastAsia="tr-TR"/>
              </w:rPr>
              <w:t>2018</w:t>
            </w:r>
          </w:p>
        </w:tc>
      </w:tr>
      <w:tr w:rsidRPr="003720FE" w:rsidR="00D21EE8" w:rsidTr="001215AD">
        <w:trPr>
          <w:trHeight w:val="195"/>
        </w:trPr>
        <w:tc>
          <w:tcPr>
            <w:tcW w:w="1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195" w:lineRule="atLeast"/>
              <w:jc w:val="both"/>
              <w:rPr>
                <w:rFonts w:eastAsia="Times New Roman" w:cstheme="minorHAnsi"/>
                <w:color w:val="212529"/>
                <w:lang w:eastAsia="tr-TR"/>
              </w:rPr>
            </w:pPr>
            <w:r w:rsidRPr="003720FE">
              <w:rPr>
                <w:rFonts w:eastAsia="Times New Roman" w:cstheme="minorHAnsi"/>
                <w:color w:val="000000"/>
                <w:lang w:eastAsia="tr-TR"/>
              </w:rPr>
              <w:t>İhracat</w:t>
            </w:r>
          </w:p>
        </w:tc>
        <w:tc>
          <w:tcPr>
            <w:tcW w:w="1296"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195" w:lineRule="atLeast"/>
              <w:jc w:val="both"/>
              <w:rPr>
                <w:rFonts w:eastAsia="Times New Roman" w:cstheme="minorHAnsi"/>
                <w:color w:val="212529"/>
                <w:lang w:eastAsia="tr-TR"/>
              </w:rPr>
            </w:pPr>
            <w:r w:rsidRPr="003720FE">
              <w:rPr>
                <w:rFonts w:eastAsia="Times New Roman" w:cstheme="minorHAnsi"/>
                <w:color w:val="000000"/>
                <w:lang w:eastAsia="tr-TR"/>
              </w:rPr>
              <w:t>8.057.141</w:t>
            </w:r>
          </w:p>
        </w:tc>
        <w:tc>
          <w:tcPr>
            <w:tcW w:w="1410"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195" w:lineRule="atLeast"/>
              <w:jc w:val="both"/>
              <w:rPr>
                <w:rFonts w:eastAsia="Times New Roman" w:cstheme="minorHAnsi"/>
                <w:color w:val="212529"/>
                <w:lang w:eastAsia="tr-TR"/>
              </w:rPr>
            </w:pPr>
            <w:r w:rsidRPr="003720FE">
              <w:rPr>
                <w:rFonts w:eastAsia="Times New Roman" w:cstheme="minorHAnsi"/>
                <w:color w:val="212529"/>
                <w:lang w:eastAsia="tr-TR"/>
              </w:rPr>
              <w:t>11.061.897</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20FE" w:rsidR="00D21EE8" w:rsidP="00D21EE8" w:rsidRDefault="00D21EE8">
            <w:pPr>
              <w:spacing w:before="100" w:beforeAutospacing="1" w:after="100" w:afterAutospacing="1" w:line="195" w:lineRule="atLeast"/>
              <w:jc w:val="both"/>
              <w:rPr>
                <w:rFonts w:eastAsia="Times New Roman" w:cstheme="minorHAnsi"/>
                <w:color w:val="212529"/>
                <w:lang w:eastAsia="tr-TR"/>
              </w:rPr>
            </w:pPr>
            <w:r w:rsidRPr="003720FE">
              <w:rPr>
                <w:rFonts w:eastAsia="Times New Roman" w:cstheme="minorHAnsi"/>
                <w:color w:val="212529"/>
                <w:lang w:eastAsia="tr-TR"/>
              </w:rPr>
              <w:t>10.655.796</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20FE" w:rsidR="00D21EE8" w:rsidP="00D21EE8" w:rsidRDefault="00D21EE8">
            <w:pPr>
              <w:spacing w:before="100" w:beforeAutospacing="1" w:after="100" w:afterAutospacing="1" w:line="195" w:lineRule="atLeast"/>
              <w:jc w:val="both"/>
              <w:rPr>
                <w:rFonts w:eastAsia="Times New Roman" w:cstheme="minorHAnsi"/>
                <w:color w:val="212529"/>
                <w:lang w:eastAsia="tr-TR"/>
              </w:rPr>
            </w:pPr>
            <w:r w:rsidRPr="003720FE">
              <w:rPr>
                <w:rFonts w:eastAsia="Times New Roman" w:cstheme="minorHAnsi"/>
                <w:color w:val="212529"/>
                <w:lang w:eastAsia="tr-TR"/>
              </w:rPr>
              <w:t>11.369.371</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20FE" w:rsidR="00D21EE8" w:rsidP="00D21EE8" w:rsidRDefault="00D21EE8">
            <w:pPr>
              <w:spacing w:before="100" w:beforeAutospacing="1" w:after="100" w:afterAutospacing="1" w:line="195" w:lineRule="atLeast"/>
              <w:jc w:val="both"/>
              <w:rPr>
                <w:rFonts w:eastAsia="Times New Roman" w:cstheme="minorHAnsi"/>
                <w:color w:val="212529"/>
                <w:lang w:eastAsia="tr-TR"/>
              </w:rPr>
            </w:pPr>
            <w:r w:rsidRPr="003720FE">
              <w:rPr>
                <w:rFonts w:eastAsia="Times New Roman" w:cstheme="minorHAnsi"/>
                <w:color w:val="212529"/>
                <w:lang w:eastAsia="tr-TR"/>
              </w:rPr>
              <w:t>17.099.588</w:t>
            </w:r>
          </w:p>
        </w:tc>
      </w:tr>
      <w:tr w:rsidRPr="003720FE" w:rsidR="00D21EE8" w:rsidTr="001215AD">
        <w:tc>
          <w:tcPr>
            <w:tcW w:w="1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İthalat</w:t>
            </w:r>
          </w:p>
        </w:tc>
        <w:tc>
          <w:tcPr>
            <w:tcW w:w="1296"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5.233.390</w:t>
            </w:r>
          </w:p>
        </w:tc>
        <w:tc>
          <w:tcPr>
            <w:tcW w:w="1410"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14.057.686</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11.361.004</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13.656.364</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11.880.471</w:t>
            </w:r>
          </w:p>
        </w:tc>
      </w:tr>
      <w:tr w:rsidRPr="003720FE" w:rsidR="00D21EE8" w:rsidTr="001215AD">
        <w:tc>
          <w:tcPr>
            <w:tcW w:w="1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Hacim</w:t>
            </w:r>
          </w:p>
        </w:tc>
        <w:tc>
          <w:tcPr>
            <w:tcW w:w="129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13.290.531</w:t>
            </w:r>
          </w:p>
        </w:tc>
        <w:tc>
          <w:tcPr>
            <w:tcW w:w="1410"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25.119.583</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22.016.800</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25.025.735</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28.980.059</w:t>
            </w:r>
          </w:p>
        </w:tc>
      </w:tr>
      <w:tr w:rsidRPr="003720FE" w:rsidR="00D21EE8" w:rsidTr="001215AD">
        <w:tc>
          <w:tcPr>
            <w:tcW w:w="1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Denge</w:t>
            </w:r>
          </w:p>
        </w:tc>
        <w:tc>
          <w:tcPr>
            <w:tcW w:w="1296"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-2.823.751</w:t>
            </w:r>
          </w:p>
        </w:tc>
        <w:tc>
          <w:tcPr>
            <w:tcW w:w="1410"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-2.985.789</w:t>
            </w:r>
          </w:p>
        </w:tc>
        <w:tc>
          <w:tcPr>
            <w:tcW w:w="1410"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-705.208</w:t>
            </w:r>
          </w:p>
        </w:tc>
        <w:tc>
          <w:tcPr>
            <w:tcW w:w="1410"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-2.286.993</w:t>
            </w:r>
          </w:p>
        </w:tc>
        <w:tc>
          <w:tcPr>
            <w:tcW w:w="1410" w:type="dxa"/>
            <w:tcBorders>
              <w:top w:val="nil"/>
              <w:left w:val="nil"/>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before="100" w:beforeAutospacing="1" w:after="100" w:afterAutospacing="1" w:line="240" w:lineRule="auto"/>
              <w:jc w:val="both"/>
              <w:rPr>
                <w:rFonts w:eastAsia="Times New Roman" w:cstheme="minorHAnsi"/>
                <w:color w:val="212529"/>
                <w:lang w:eastAsia="tr-TR"/>
              </w:rPr>
            </w:pPr>
            <w:r w:rsidRPr="003720FE">
              <w:rPr>
                <w:rFonts w:eastAsia="Times New Roman" w:cstheme="minorHAnsi"/>
                <w:color w:val="000000"/>
                <w:lang w:eastAsia="tr-TR"/>
              </w:rPr>
              <w:t>5.219.117</w:t>
            </w:r>
          </w:p>
        </w:tc>
      </w:tr>
    </w:tbl>
    <w:p w:rsidRPr="003720FE" w:rsidR="003720FE" w:rsidP="001215AD" w:rsidRDefault="00D21EE8">
      <w:pPr>
        <w:jc w:val="both"/>
        <w:rPr>
          <w:rFonts w:eastAsia="Times New Roman" w:cstheme="minorHAnsi"/>
          <w:b/>
          <w:bCs/>
          <w:i/>
          <w:iCs/>
          <w:color w:val="212529"/>
          <w:lang w:eastAsia="tr-TR"/>
        </w:rPr>
      </w:pPr>
      <w:r w:rsidRPr="003720FE">
        <w:rPr>
          <w:rFonts w:eastAsia="Times New Roman" w:cstheme="minorHAnsi"/>
          <w:b/>
          <w:bCs/>
          <w:i/>
          <w:iCs/>
          <w:color w:val="212529"/>
          <w:lang w:eastAsia="tr-TR"/>
        </w:rPr>
        <w:t>      Kaynak: ITC, Trademap,</w:t>
      </w:r>
    </w:p>
    <w:p w:rsidRPr="003720FE" w:rsidR="001215AD" w:rsidP="001215AD" w:rsidRDefault="00535A55">
      <w:pPr>
        <w:jc w:val="both"/>
        <w:rPr>
          <w:rFonts w:eastAsia="Times New Roman" w:cstheme="minorHAnsi"/>
          <w:color w:val="212529"/>
          <w:lang w:eastAsia="tr-TR"/>
        </w:rPr>
      </w:pPr>
      <w:r>
        <w:rPr>
          <w:rFonts w:eastAsia="Times New Roman" w:cstheme="minorHAnsi"/>
          <w:color w:val="212529"/>
          <w:lang w:eastAsia="tr-TR"/>
        </w:rPr>
        <w:t>G</w:t>
      </w:r>
      <w:r w:rsidRPr="003720FE" w:rsidR="00D21EE8">
        <w:rPr>
          <w:rFonts w:eastAsia="Times New Roman" w:cstheme="minorHAnsi"/>
          <w:color w:val="212529"/>
          <w:lang w:eastAsia="tr-TR"/>
        </w:rPr>
        <w:t>ana’da 1997 yılında petrol yatakları keşfedilmeye başlanmış olup, petrol yatakları ülkenin özellikle kıyı kesimlerinde yer almaktadır. Gana’da şu an için toplam 2 milyar varilin üzerinde petrol varlığı tespit edilmiş olup, günlük petrol üretiminin  200 bin varil civarında olduğu bildirilmektedir. Önümüzdeki dört yıl içerisinde de günlük petrol üretiminin 450 bin varilin üzerine çıkması beklenmektedir. Ülkede son yıllarda keşfedilen petrol rezervleriyle Afrika’da önemli bir petrol üreticisi konumuna gelebilecek olan Gana’nın 2021 yılı itibariyle Afrika’nın dördüncü büyük petrol üreticisi olması beklenmektedir. 2018 yılı itibariyle 5 milyar doların üzerine çıkan petrol ihracatının birkaç yıl içerisinde 9-10 milyar dolara ulaşması beklenmektedir.</w:t>
      </w:r>
    </w:p>
    <w:p w:rsidRPr="003720FE" w:rsidR="001215AD" w:rsidP="001215AD" w:rsidRDefault="00D21EE8">
      <w:pPr>
        <w:jc w:val="both"/>
        <w:rPr>
          <w:rFonts w:eastAsia="Times New Roman" w:cstheme="minorHAnsi"/>
          <w:color w:val="212529"/>
          <w:lang w:eastAsia="tr-TR"/>
        </w:rPr>
      </w:pPr>
      <w:r w:rsidRPr="003720FE">
        <w:rPr>
          <w:rFonts w:eastAsia="Times New Roman" w:cstheme="minorHAnsi"/>
          <w:color w:val="212529"/>
          <w:lang w:eastAsia="tr-TR"/>
        </w:rPr>
        <w:t>Gana’nın dış ticaret politikasının ana hedefi ürünlerinin uluslararası rekabet gücünü artırarak daha fazla ürün ihracatı gerçekleştirmektir. Batı Afrika Devletleri Ekonomik Topluluğu ECOWAS’ın tarifelerin azaltılması ve harmonizasyonu ile tarife dışı engellerin azaltılması yönündeki kararlarının Gana’nın dış ticaretine olumlu katkılar sağlaması beklenmektedir.</w:t>
      </w:r>
    </w:p>
    <w:p w:rsidRPr="003720FE" w:rsidR="001215AD" w:rsidP="001215AD" w:rsidRDefault="00D21EE8">
      <w:pPr>
        <w:jc w:val="both"/>
        <w:rPr>
          <w:rFonts w:eastAsia="Times New Roman" w:cstheme="minorHAnsi"/>
          <w:color w:val="212529"/>
          <w:lang w:eastAsia="tr-TR"/>
        </w:rPr>
      </w:pPr>
      <w:r w:rsidRPr="003720FE">
        <w:rPr>
          <w:rFonts w:eastAsia="Times New Roman" w:cstheme="minorHAnsi"/>
          <w:color w:val="212529"/>
          <w:lang w:eastAsia="tr-TR"/>
        </w:rPr>
        <w:lastRenderedPageBreak/>
        <w:t>Gana çok taraflı, bölgesel ve serbest ticaret anlaşmaları yönünde de önemli mesafeler katetmiştir. Avrupa Birliği ile 2007 yılında geçici ortaklık anlaşması imzalamış olan Gana, bu anlaşma sayesinde AB ile ticareti engelleyen faktörlerin önemli bir kısmını ortadan kaldırmış, Gana menşeili ürünlere ticari rekabet edilebilirlik konusunda önemli kazanımlar sağlanmıştır.</w:t>
      </w:r>
    </w:p>
    <w:p w:rsidRPr="003720FE" w:rsidR="001215AD" w:rsidP="001215AD" w:rsidRDefault="00D21EE8">
      <w:pPr>
        <w:jc w:val="both"/>
        <w:rPr>
          <w:rFonts w:eastAsia="Times New Roman" w:cstheme="minorHAnsi"/>
          <w:b/>
          <w:bCs/>
          <w:color w:val="212529"/>
          <w:lang w:eastAsia="tr-TR"/>
        </w:rPr>
      </w:pPr>
      <w:r w:rsidRPr="003720FE">
        <w:rPr>
          <w:rFonts w:eastAsia="Times New Roman" w:cstheme="minorHAnsi"/>
          <w:b/>
          <w:bCs/>
          <w:color w:val="212529"/>
          <w:lang w:eastAsia="tr-TR"/>
        </w:rPr>
        <w:t>Gana’nın İhracatı</w:t>
      </w:r>
    </w:p>
    <w:p w:rsidRPr="003720FE" w:rsidR="001215AD" w:rsidP="001215AD" w:rsidRDefault="00D21EE8">
      <w:pPr>
        <w:jc w:val="both"/>
        <w:rPr>
          <w:rFonts w:eastAsia="Times New Roman" w:cstheme="minorHAnsi"/>
          <w:color w:val="212529"/>
          <w:lang w:eastAsia="tr-TR"/>
        </w:rPr>
      </w:pPr>
      <w:r w:rsidRPr="003720FE">
        <w:rPr>
          <w:rFonts w:eastAsia="Times New Roman" w:cstheme="minorHAnsi"/>
          <w:color w:val="212529"/>
          <w:shd w:val="clear" w:color="auto" w:fill="FFFFFF"/>
          <w:lang w:eastAsia="tr-TR"/>
        </w:rPr>
        <w:t> </w:t>
      </w:r>
      <w:r w:rsidRPr="003720FE">
        <w:rPr>
          <w:rFonts w:eastAsia="Times New Roman" w:cstheme="minorHAnsi"/>
          <w:color w:val="212529"/>
          <w:lang w:eastAsia="tr-TR"/>
        </w:rPr>
        <w:t xml:space="preserve">Özellikle son yıllarda dış ticareti büyük bir açık veren Gana’nın ihracatı büyük ölçüde Altın, ham petrol ve petrol yağları, kakao ve kakao ürünleri, kereste, madenler, su ürünleri ve sert kabuklu meyveler gibi belli başlı ürün ve ürün grubuna bağımlıdır.  Bu bağımlılık, </w:t>
      </w:r>
      <w:r w:rsidRPr="003720FE" w:rsidR="001215AD">
        <w:rPr>
          <w:rFonts w:eastAsia="Times New Roman" w:cstheme="minorHAnsi"/>
          <w:color w:val="212529"/>
          <w:lang w:eastAsia="tr-TR"/>
        </w:rPr>
        <w:t>söz konusu</w:t>
      </w:r>
      <w:r w:rsidRPr="003720FE">
        <w:rPr>
          <w:rFonts w:eastAsia="Times New Roman" w:cstheme="minorHAnsi"/>
          <w:color w:val="212529"/>
          <w:lang w:eastAsia="tr-TR"/>
        </w:rPr>
        <w:t xml:space="preserve"> temel ürünlerin üretimlerindeki ve dünya fiyatlarındaki dalgalanmalara göre, ihracat gelirlerinin değişken olması sonucunu doğurmaktadır.</w:t>
      </w:r>
    </w:p>
    <w:p w:rsidRPr="003720FE" w:rsidR="00D21EE8" w:rsidP="001215AD" w:rsidRDefault="00D21EE8">
      <w:pPr>
        <w:jc w:val="both"/>
        <w:rPr>
          <w:rFonts w:cstheme="minorHAnsi"/>
        </w:rPr>
      </w:pP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r w:rsidRPr="003720FE">
        <w:rPr>
          <w:rFonts w:eastAsia="Times New Roman" w:cstheme="minorHAnsi"/>
          <w:color w:val="212529"/>
          <w:lang w:eastAsia="tr-TR"/>
        </w:rPr>
        <w:t>Uluslararası Ticaret Merkezinin(ITC) verilerine göre Gana’nın toplam ihracatı 2018 yılında 17,1  milyar dolara ulaşmış olup, en önemli kalemler altın, petrol, kakao ürünleri, manganez, su ürünleri ve tropikal meyvelerdir. Bu ürünlerin toplam ihracattaki payı %90’a yaklaşmaktadır.</w:t>
      </w: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p>
    <w:tbl>
      <w:tblPr>
        <w:tblW w:w="10021" w:type="dxa"/>
        <w:tblCellMar>
          <w:left w:w="0" w:type="dxa"/>
          <w:right w:w="0" w:type="dxa"/>
        </w:tblCellMar>
        <w:tblLook w:val="04A0" w:firstRow="1" w:lastRow="0" w:firstColumn="1" w:lastColumn="0" w:noHBand="0" w:noVBand="1"/>
      </w:tblPr>
      <w:tblGrid>
        <w:gridCol w:w="1006"/>
        <w:gridCol w:w="3840"/>
        <w:gridCol w:w="1725"/>
        <w:gridCol w:w="1725"/>
        <w:gridCol w:w="1725"/>
      </w:tblGrid>
      <w:tr w:rsidRPr="003720FE" w:rsidR="00D21EE8" w:rsidTr="00D21EE8">
        <w:trPr>
          <w:trHeight w:val="315"/>
        </w:trPr>
        <w:tc>
          <w:tcPr>
            <w:tcW w:w="1006" w:type="dxa"/>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GTİP</w:t>
            </w:r>
          </w:p>
        </w:tc>
        <w:tc>
          <w:tcPr>
            <w:tcW w:w="384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ÜRÜNLER</w:t>
            </w:r>
          </w:p>
        </w:tc>
        <w:tc>
          <w:tcPr>
            <w:tcW w:w="172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2016</w:t>
            </w:r>
          </w:p>
        </w:tc>
        <w:tc>
          <w:tcPr>
            <w:tcW w:w="172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2017</w:t>
            </w:r>
          </w:p>
        </w:tc>
        <w:tc>
          <w:tcPr>
            <w:tcW w:w="172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2018</w:t>
            </w:r>
          </w:p>
        </w:tc>
      </w:tr>
      <w:tr w:rsidRPr="003720FE" w:rsidR="00D21EE8" w:rsidTr="00D21EE8">
        <w:trPr>
          <w:trHeight w:val="31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r>
      <w:tr w:rsidRPr="003720FE" w:rsidR="00D21EE8" w:rsidTr="00D21EE8">
        <w:trPr>
          <w:trHeight w:val="31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TOPLAM</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10.655.796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14.358.510</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17.099.588</w:t>
            </w:r>
          </w:p>
        </w:tc>
      </w:tr>
      <w:tr w:rsidRPr="003720FE" w:rsidR="00D21EE8" w:rsidTr="00D21EE8">
        <w:trPr>
          <w:trHeight w:val="94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'7108</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Altın (platin kaplamalı altın dahil) (işlenmemiş veya yarı işlenmiş ya da pudra halinde)</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4.427.912</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5.858.281</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6.092.572</w:t>
            </w:r>
          </w:p>
        </w:tc>
      </w:tr>
      <w:tr w:rsidRPr="003720FE" w:rsidR="00D21EE8" w:rsidTr="00D21EE8">
        <w:trPr>
          <w:trHeight w:val="94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'2709</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Ham petrol (petrol yağları ve bitümenli minerallerden elde edilen yağlar)</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1.079.145</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3.619.656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5.194.952</w:t>
            </w:r>
          </w:p>
        </w:tc>
      </w:tr>
      <w:tr w:rsidRPr="003720FE" w:rsidR="00D21EE8" w:rsidTr="00D21EE8">
        <w:trPr>
          <w:trHeight w:val="630"/>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'1801</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Kakao dane ve kırıkları (ham/kavrulmuş, bütün/kırık)</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1.886.219</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1.642.052</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2.437.194</w:t>
            </w:r>
          </w:p>
        </w:tc>
      </w:tr>
      <w:tr w:rsidRPr="003720FE" w:rsidR="00D21EE8" w:rsidTr="00D21EE8">
        <w:trPr>
          <w:trHeight w:val="630"/>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'0801</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Hindistan cevizi, brezilya ve kaju cevizi (taze/kurutulmuş)</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987.724</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298.147</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460.204</w:t>
            </w:r>
          </w:p>
        </w:tc>
      </w:tr>
      <w:tr w:rsidRPr="003720FE" w:rsidR="00D21EE8" w:rsidTr="00D21EE8">
        <w:trPr>
          <w:trHeight w:val="31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'1803</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Kakao hamuru</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27</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407.389</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396.371</w:t>
            </w:r>
          </w:p>
        </w:tc>
      </w:tr>
      <w:tr w:rsidRPr="003720FE" w:rsidR="00D21EE8" w:rsidTr="00D21EE8">
        <w:trPr>
          <w:trHeight w:val="31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'2602</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Manganez cevherleri ve konsantreleri</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100.663</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155.381</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288.075</w:t>
            </w:r>
          </w:p>
        </w:tc>
      </w:tr>
      <w:tr w:rsidRPr="003720FE" w:rsidR="00D21EE8" w:rsidTr="00D21EE8">
        <w:trPr>
          <w:trHeight w:val="31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'1804</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Kakao yağı</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64</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276.454</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287.230</w:t>
            </w:r>
          </w:p>
        </w:tc>
      </w:tr>
      <w:tr w:rsidRPr="003720FE" w:rsidR="00D21EE8" w:rsidTr="00D21EE8">
        <w:trPr>
          <w:trHeight w:val="945"/>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'1604</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Hazırlanmış/konserve edilmiş balıklar, yumuşakçalar veya diğer su omurgasızların hülasa ve suları</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82</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140.846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155.281</w:t>
            </w:r>
          </w:p>
        </w:tc>
      </w:tr>
      <w:tr w:rsidRPr="003720FE" w:rsidR="00D21EE8" w:rsidTr="00D21EE8">
        <w:trPr>
          <w:trHeight w:val="630"/>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'4407</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Uzunlamasına kesilmiş, biçilmiş ağaç; kalınlık &gt; 6 mm</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367.348</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99.276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118.958</w:t>
            </w:r>
          </w:p>
        </w:tc>
      </w:tr>
      <w:tr w:rsidRPr="003720FE" w:rsidR="00D21EE8" w:rsidTr="00D21EE8">
        <w:trPr>
          <w:trHeight w:val="630"/>
        </w:trPr>
        <w:tc>
          <w:tcPr>
            <w:tcW w:w="1006"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'3924</w:t>
            </w:r>
          </w:p>
        </w:tc>
        <w:tc>
          <w:tcPr>
            <w:tcW w:w="38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Plastikten sofra, mutfak, ev, sağlık veya tuvalet eşyası</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60.158</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213.346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115.806</w:t>
            </w:r>
          </w:p>
        </w:tc>
      </w:tr>
    </w:tbl>
    <w:p w:rsidRPr="003720FE" w:rsidR="00D21EE8" w:rsidP="00D21EE8" w:rsidRDefault="00D21EE8">
      <w:pPr>
        <w:rPr>
          <w:rFonts w:cstheme="minorHAnsi"/>
          <w:color w:val="212529"/>
        </w:rPr>
      </w:pPr>
    </w:p>
    <w:p w:rsidRPr="003720FE" w:rsidR="001215AD" w:rsidP="001215AD" w:rsidRDefault="00D21EE8">
      <w:pPr>
        <w:jc w:val="both"/>
        <w:rPr>
          <w:rFonts w:cstheme="minorHAnsi"/>
          <w:color w:val="212529"/>
        </w:rPr>
      </w:pPr>
      <w:r w:rsidRPr="003720FE">
        <w:rPr>
          <w:rFonts w:cstheme="minorHAnsi"/>
          <w:color w:val="212529"/>
        </w:rPr>
        <w:lastRenderedPageBreak/>
        <w:t>Gana’nın ihracat gerçekleştirdiği en önemli ülkeler Hindistan, Çin G. Afrika ve İsviçre’dir. Bu dört ülkenin 2018 yılı verilerine göre Gana’nın ihracatındaki payı %50’nin üzerindedir.    Türkiye’nin Gana’nın ihracatındaki payı ise % 1’in altında olup, 26. Sırada yer almaktadır.</w:t>
      </w:r>
    </w:p>
    <w:p w:rsidRPr="003720FE" w:rsidR="00D21EE8" w:rsidP="00D21EE8" w:rsidRDefault="00D21EE8">
      <w:pPr>
        <w:rPr>
          <w:rFonts w:cstheme="minorHAnsi"/>
        </w:rPr>
      </w:pPr>
      <w:r w:rsidRPr="003720FE">
        <w:rPr>
          <w:rStyle w:val="Vurgu"/>
          <w:rFonts w:cstheme="minorHAnsi"/>
          <w:b/>
          <w:bCs/>
          <w:color w:val="212529"/>
        </w:rPr>
        <w:t>Gana’nın Ülkeler İtibariyle İhracatı (1000$)</w:t>
      </w:r>
    </w:p>
    <w:tbl>
      <w:tblPr>
        <w:tblW w:w="7275" w:type="dxa"/>
        <w:tblCellMar>
          <w:left w:w="0" w:type="dxa"/>
          <w:right w:w="0" w:type="dxa"/>
        </w:tblCellMar>
        <w:tblLook w:val="04A0" w:firstRow="1" w:lastRow="0" w:firstColumn="1" w:lastColumn="0" w:noHBand="0" w:noVBand="1"/>
      </w:tblPr>
      <w:tblGrid>
        <w:gridCol w:w="2100"/>
        <w:gridCol w:w="1725"/>
        <w:gridCol w:w="1725"/>
        <w:gridCol w:w="1725"/>
      </w:tblGrid>
      <w:tr w:rsidRPr="003720FE" w:rsidR="00D21EE8" w:rsidTr="00D21EE8">
        <w:trPr>
          <w:trHeight w:val="315"/>
        </w:trPr>
        <w:tc>
          <w:tcPr>
            <w:tcW w:w="2100" w:type="dxa"/>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ÜLKELER</w:t>
            </w:r>
          </w:p>
        </w:tc>
        <w:tc>
          <w:tcPr>
            <w:tcW w:w="172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2016</w:t>
            </w:r>
          </w:p>
        </w:tc>
        <w:tc>
          <w:tcPr>
            <w:tcW w:w="172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2017</w:t>
            </w:r>
          </w:p>
        </w:tc>
        <w:tc>
          <w:tcPr>
            <w:tcW w:w="172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2018</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TOPLAM</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10.655.796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14.358.510</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17.099.588</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Hindistan</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1.557.741</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2.689.424</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3.670.384</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Çin</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941.810</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2.381.361</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2.032.273</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G. Afrika Cum.</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350.763</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910.266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1.742.478</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İsviçre</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1.868.672</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1.660.098</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1.631.724</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Hollanda</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443.039</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884.609</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1.228.616</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Malezya</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215.021</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454.298</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1.109.464</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ABD</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196.985</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407.970</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613.839</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B.A.E.</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1.427.347</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800.769</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590.730</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İspanya</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149.081</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213.181</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584.464</w:t>
            </w:r>
          </w:p>
        </w:tc>
      </w:tr>
      <w:tr w:rsidRPr="003720FE" w:rsidR="00D21EE8" w:rsidTr="00D21EE8">
        <w:trPr>
          <w:trHeight w:val="315"/>
        </w:trPr>
        <w:tc>
          <w:tcPr>
            <w:tcW w:w="210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Birleşik Krallık</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95.176</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329.470</w:t>
            </w:r>
          </w:p>
        </w:tc>
        <w:tc>
          <w:tcPr>
            <w:tcW w:w="172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491.544</w:t>
            </w:r>
          </w:p>
        </w:tc>
      </w:tr>
    </w:tbl>
    <w:p w:rsidRPr="003720FE" w:rsidR="003720FE" w:rsidP="001215AD" w:rsidRDefault="003720FE">
      <w:pPr>
        <w:jc w:val="both"/>
        <w:rPr>
          <w:rStyle w:val="Gl"/>
          <w:rFonts w:cstheme="minorHAnsi"/>
          <w:color w:val="212529"/>
        </w:rPr>
      </w:pPr>
    </w:p>
    <w:p w:rsidRPr="003720FE" w:rsidR="001215AD" w:rsidP="001215AD" w:rsidRDefault="00D21EE8">
      <w:pPr>
        <w:jc w:val="both"/>
        <w:rPr>
          <w:rStyle w:val="Gl"/>
          <w:rFonts w:cstheme="minorHAnsi"/>
          <w:color w:val="212529"/>
        </w:rPr>
      </w:pPr>
      <w:r w:rsidRPr="003720FE">
        <w:rPr>
          <w:rStyle w:val="Gl"/>
          <w:rFonts w:cstheme="minorHAnsi"/>
          <w:color w:val="212529"/>
        </w:rPr>
        <w:t>Gana’nın İthalatı</w:t>
      </w:r>
    </w:p>
    <w:p w:rsidRPr="003720FE" w:rsidR="001215AD" w:rsidP="001215AD" w:rsidRDefault="00D21EE8">
      <w:pPr>
        <w:jc w:val="both"/>
        <w:rPr>
          <w:rFonts w:cstheme="minorHAnsi"/>
          <w:color w:val="212529"/>
        </w:rPr>
      </w:pPr>
      <w:r w:rsidRPr="003720FE">
        <w:rPr>
          <w:rFonts w:cstheme="minorHAnsi"/>
          <w:color w:val="212529"/>
        </w:rPr>
        <w:t>ITC verilerine göre Gana’nın 2014 yılında toplam ithalatı 15,6 milyar dolarla maksimum düzeyine ulaşmış 2018 yılında ise 11,9 milyar dolar olarak gerçekleşmiştir.</w:t>
      </w:r>
    </w:p>
    <w:p w:rsidRPr="003720FE" w:rsidR="001215AD" w:rsidP="001215AD" w:rsidRDefault="00D21EE8">
      <w:pPr>
        <w:jc w:val="both"/>
        <w:rPr>
          <w:rFonts w:cstheme="minorHAnsi"/>
          <w:color w:val="212529"/>
        </w:rPr>
      </w:pPr>
      <w:r w:rsidRPr="003720FE">
        <w:rPr>
          <w:rFonts w:cstheme="minorHAnsi"/>
          <w:color w:val="212529"/>
        </w:rPr>
        <w:t>Ülkenin ithalat düzeyini özellikle iç talep ve imalat sanayi ürünlerinin uluslararası fiyatları belirlemektedir. Aynı zamanda kur politikalarının ve döviz rezervlerinin de ithalat üzerinde büyük etkisi bulunmaktadır. Örneğin, 2000’li yılların başında Cedi’nin önemli ölçüde değer kazanması ile ithalat ciddi düşüş göstermiş, bu dönemden sonra ise ithalat talebi güçlü bir artış göstermiştir. </w:t>
      </w:r>
    </w:p>
    <w:p w:rsidRPr="003720FE" w:rsidR="001215AD" w:rsidP="001215AD" w:rsidRDefault="00D21EE8">
      <w:pPr>
        <w:jc w:val="both"/>
        <w:rPr>
          <w:rFonts w:cstheme="minorHAnsi"/>
          <w:color w:val="212529"/>
        </w:rPr>
      </w:pPr>
      <w:r w:rsidRPr="003720FE">
        <w:rPr>
          <w:rFonts w:cstheme="minorHAnsi"/>
          <w:color w:val="212529"/>
        </w:rPr>
        <w:t>Petrol Gana’nın toplam ithalatında önemli bir yer tutmakta iken ülkede petrol bulunması ve üretime başlanması ve son yıllarda önemli ölçüde ihracatına başlanması nedeniyle ülkenin petrol ithalatı oldukça azalmıştır. 2018 yılı verilerine göre  188  milyon dolar gibi oldukça düşük bir tutarda işlenmiş petrol ithal edilmiştir. 2018 yılın verilerine göre  Gana’nın en önemli ithal kalemleri binek otomobiller, motorlu taşıtlar, pirinç, çimento, tıbbi ilaçlar, su ürünleri ve palm yağıdır.</w:t>
      </w:r>
    </w:p>
    <w:p w:rsidRPr="003720FE" w:rsidR="00D21EE8" w:rsidP="00D21EE8" w:rsidRDefault="00D21EE8">
      <w:pPr>
        <w:rPr>
          <w:rFonts w:cstheme="minorHAnsi"/>
        </w:rPr>
      </w:pPr>
      <w:r w:rsidRPr="003720FE">
        <w:rPr>
          <w:rStyle w:val="Gl"/>
          <w:rFonts w:cstheme="minorHAnsi"/>
          <w:color w:val="212529"/>
        </w:rPr>
        <w:t>Gana’nın Ürünler İtibariyle İthalatı (1000$)</w:t>
      </w:r>
      <w:r w:rsidRPr="003720FE">
        <w:rPr>
          <w:rFonts w:cstheme="minorHAnsi"/>
          <w:color w:val="212529"/>
          <w:shd w:val="clear" w:color="auto" w:fill="FFFFFF"/>
        </w:rPr>
        <w:t>   </w:t>
      </w:r>
      <w:r w:rsidRPr="003720FE">
        <w:rPr>
          <w:rFonts w:cstheme="minorHAnsi"/>
          <w:color w:val="212529"/>
        </w:rPr>
        <w:br/>
      </w:r>
    </w:p>
    <w:tbl>
      <w:tblPr>
        <w:tblW w:w="9724" w:type="dxa"/>
        <w:tblCellMar>
          <w:left w:w="0" w:type="dxa"/>
          <w:right w:w="0" w:type="dxa"/>
        </w:tblCellMar>
        <w:tblLook w:val="04A0" w:firstRow="1" w:lastRow="0" w:firstColumn="1" w:lastColumn="0" w:noHBand="0" w:noVBand="1"/>
      </w:tblPr>
      <w:tblGrid>
        <w:gridCol w:w="1008"/>
        <w:gridCol w:w="4458"/>
        <w:gridCol w:w="1278"/>
        <w:gridCol w:w="1419"/>
        <w:gridCol w:w="1561"/>
      </w:tblGrid>
      <w:tr w:rsidRPr="003720FE" w:rsidR="00D21EE8" w:rsidTr="00D21EE8">
        <w:trPr>
          <w:trHeight w:val="279"/>
        </w:trPr>
        <w:tc>
          <w:tcPr>
            <w:tcW w:w="1008" w:type="dxa"/>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GTİP</w:t>
            </w:r>
          </w:p>
        </w:tc>
        <w:tc>
          <w:tcPr>
            <w:tcW w:w="4458"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ÜRÜNLER</w:t>
            </w:r>
          </w:p>
        </w:tc>
        <w:tc>
          <w:tcPr>
            <w:tcW w:w="1278"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2016</w:t>
            </w:r>
          </w:p>
        </w:tc>
        <w:tc>
          <w:tcPr>
            <w:tcW w:w="1419"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2017</w:t>
            </w:r>
          </w:p>
        </w:tc>
        <w:tc>
          <w:tcPr>
            <w:tcW w:w="1561"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2018</w:t>
            </w:r>
          </w:p>
        </w:tc>
      </w:tr>
      <w:tr w:rsidRPr="003720FE" w:rsidR="00D21EE8" w:rsidTr="00D21EE8">
        <w:trPr>
          <w:trHeight w:val="279"/>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TOPLAM</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11.361.004</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12.718.142</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11.880.471</w:t>
            </w:r>
          </w:p>
        </w:tc>
      </w:tr>
      <w:tr w:rsidRPr="003720FE" w:rsidR="00D21EE8" w:rsidTr="00D21EE8">
        <w:trPr>
          <w:trHeight w:val="918"/>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lastRenderedPageBreak/>
              <w:t>'8703</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Binek otomobilleri ve esas itibariyle insan taşımak üzere imal edilmiş diğer motorlu taşıtlar (yarış rabaları dahil)</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919.582</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998.609</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956.123</w:t>
            </w:r>
          </w:p>
        </w:tc>
      </w:tr>
      <w:tr w:rsidRPr="003720FE" w:rsidR="00D21EE8" w:rsidTr="00D21EE8">
        <w:trPr>
          <w:trHeight w:val="373"/>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'8704</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Eşya taşımaya mahsus motorlu taşıtlar</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482.192</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544.025</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476.844</w:t>
            </w:r>
          </w:p>
        </w:tc>
      </w:tr>
      <w:tr w:rsidRPr="003720FE" w:rsidR="00D21EE8" w:rsidTr="00D21EE8">
        <w:trPr>
          <w:trHeight w:val="279"/>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'1006</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Pirinç</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287.067</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401.880</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451.881</w:t>
            </w:r>
          </w:p>
        </w:tc>
      </w:tr>
      <w:tr w:rsidRPr="003720FE" w:rsidR="00D21EE8" w:rsidTr="00D21EE8">
        <w:trPr>
          <w:trHeight w:val="279"/>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'2523</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Çimento</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414.735</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915.402</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323.382</w:t>
            </w:r>
          </w:p>
        </w:tc>
      </w:tr>
      <w:tr w:rsidRPr="003720FE" w:rsidR="00D21EE8" w:rsidTr="00D21EE8">
        <w:trPr>
          <w:trHeight w:val="590"/>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'3004</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Tedavide veya korunmada kullanılmak üzere hazırlanan ilaçlar (dozlandırılmış)</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120.966</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180.826</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251.310</w:t>
            </w:r>
          </w:p>
        </w:tc>
      </w:tr>
      <w:tr w:rsidRPr="003720FE" w:rsidR="00D21EE8" w:rsidTr="00D21EE8">
        <w:trPr>
          <w:trHeight w:val="279"/>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'0303</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Balıklar (dondurulmuş)</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279.776</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235.689</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235.567</w:t>
            </w:r>
          </w:p>
        </w:tc>
      </w:tr>
      <w:tr w:rsidRPr="003720FE" w:rsidR="00D21EE8" w:rsidTr="00D21EE8">
        <w:trPr>
          <w:trHeight w:val="559"/>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'1511</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Palm yağı ve fraksiyonları (kimyasal olarak değiştirilmemiş)</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107.732</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286.321</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225.365</w:t>
            </w:r>
          </w:p>
        </w:tc>
      </w:tr>
      <w:tr w:rsidRPr="003720FE" w:rsidR="00D21EE8" w:rsidTr="00D21EE8">
        <w:trPr>
          <w:trHeight w:val="896"/>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'3808</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Haşarat öldürücü, dezenfekte edici, zararlıları yok edici,sürgünleri önleyici, bitkilerin büyümesini düzenleyici ürünler</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189.036</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194.941</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203.926</w:t>
            </w:r>
          </w:p>
        </w:tc>
      </w:tr>
      <w:tr w:rsidRPr="003720FE" w:rsidR="00D21EE8" w:rsidTr="00D21EE8">
        <w:trPr>
          <w:trHeight w:val="279"/>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'3901</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Etilen polimerleri (ilk şekillerde)</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140.325</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158.653</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203.862</w:t>
            </w:r>
          </w:p>
        </w:tc>
      </w:tr>
      <w:tr w:rsidRPr="003720FE" w:rsidR="00D21EE8" w:rsidTr="00D21EE8">
        <w:trPr>
          <w:trHeight w:val="559"/>
        </w:trPr>
        <w:tc>
          <w:tcPr>
            <w:tcW w:w="1008"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'2710</w:t>
            </w:r>
          </w:p>
        </w:tc>
        <w:tc>
          <w:tcPr>
            <w:tcW w:w="445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Petrol yağları ve bitümenli minerallerden elde edilen yağlar</w:t>
            </w:r>
          </w:p>
        </w:tc>
        <w:tc>
          <w:tcPr>
            <w:tcW w:w="127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90.524</w:t>
            </w:r>
          </w:p>
        </w:tc>
        <w:tc>
          <w:tcPr>
            <w:tcW w:w="1419"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210.468</w:t>
            </w:r>
          </w:p>
        </w:tc>
        <w:tc>
          <w:tcPr>
            <w:tcW w:w="1561"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188.034</w:t>
            </w:r>
          </w:p>
        </w:tc>
      </w:tr>
    </w:tbl>
    <w:p w:rsidRPr="003720FE" w:rsidR="00D21EE8" w:rsidP="00D21EE8" w:rsidRDefault="00D21EE8">
      <w:pPr>
        <w:rPr>
          <w:rFonts w:cstheme="minorHAnsi"/>
        </w:rPr>
      </w:pPr>
    </w:p>
    <w:p w:rsidRPr="003720FE" w:rsidR="001215AD" w:rsidP="001215AD"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xml:space="preserve">Gana’nın ithalat gerçekleştirdiği en önemli ülke Çin’dir. Çin’in Gana’nın ithalatındaki payı yaklaşık %20’dir. Çin dışında ABD, Belçika, Hindistan ve İngiltere diğer önemli ithal kaynaklarıdır. </w:t>
      </w:r>
    </w:p>
    <w:p w:rsidRPr="003720FE" w:rsidR="001215AD" w:rsidP="001215AD"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Türkiye Gana’nın ithalatında %2,8’lik payı ile  9. sıralarda yer almaktadır.</w:t>
      </w:r>
    </w:p>
    <w:p w:rsidRPr="003720FE" w:rsidR="001215AD" w:rsidP="001215AD" w:rsidRDefault="00D21EE8">
      <w:pPr>
        <w:spacing w:after="0" w:line="240" w:lineRule="auto"/>
        <w:jc w:val="both"/>
        <w:rPr>
          <w:rFonts w:eastAsia="Times New Roman" w:cstheme="minorHAnsi"/>
          <w:b/>
          <w:bCs/>
          <w:i/>
          <w:iCs/>
          <w:color w:val="212529"/>
          <w:lang w:eastAsia="tr-TR"/>
        </w:rPr>
      </w:pPr>
      <w:r w:rsidRPr="003720FE">
        <w:rPr>
          <w:rFonts w:eastAsia="Times New Roman" w:cstheme="minorHAnsi"/>
          <w:color w:val="212529"/>
          <w:shd w:val="clear" w:color="auto" w:fill="FFFFFF"/>
          <w:lang w:eastAsia="tr-TR"/>
        </w:rPr>
        <w:t> </w:t>
      </w:r>
      <w:r w:rsidRPr="003720FE">
        <w:rPr>
          <w:rFonts w:eastAsia="Times New Roman" w:cstheme="minorHAnsi"/>
          <w:color w:val="212529"/>
          <w:lang w:eastAsia="tr-TR"/>
        </w:rPr>
        <w:br/>
      </w:r>
      <w:r w:rsidRPr="003720FE">
        <w:rPr>
          <w:rFonts w:eastAsia="Times New Roman" w:cstheme="minorHAnsi"/>
          <w:b/>
          <w:bCs/>
          <w:i/>
          <w:iCs/>
          <w:color w:val="212529"/>
          <w:lang w:eastAsia="tr-TR"/>
        </w:rPr>
        <w:t>Gana’nın Ülkeler İtibariyle İthalatı (1000$)</w:t>
      </w:r>
    </w:p>
    <w:p w:rsidRPr="003720FE" w:rsidR="00D21EE8" w:rsidP="001215AD" w:rsidRDefault="00D21EE8">
      <w:pPr>
        <w:spacing w:after="0" w:line="240" w:lineRule="auto"/>
        <w:jc w:val="both"/>
        <w:rPr>
          <w:rFonts w:eastAsia="Times New Roman" w:cstheme="minorHAnsi"/>
          <w:lang w:eastAsia="tr-TR"/>
        </w:rPr>
      </w:pPr>
      <w:r w:rsidRPr="003720FE">
        <w:rPr>
          <w:rFonts w:eastAsia="Times New Roman" w:cstheme="minorHAnsi"/>
          <w:color w:val="212529"/>
          <w:shd w:val="clear" w:color="auto" w:fill="FFFFFF"/>
          <w:lang w:eastAsia="tr-TR"/>
        </w:rPr>
        <w:t>  </w:t>
      </w:r>
    </w:p>
    <w:tbl>
      <w:tblPr>
        <w:tblW w:w="7545" w:type="dxa"/>
        <w:tblCellMar>
          <w:left w:w="0" w:type="dxa"/>
          <w:right w:w="0" w:type="dxa"/>
        </w:tblCellMar>
        <w:tblLook w:val="04A0" w:firstRow="1" w:lastRow="0" w:firstColumn="1" w:lastColumn="0" w:noHBand="0" w:noVBand="1"/>
      </w:tblPr>
      <w:tblGrid>
        <w:gridCol w:w="2325"/>
        <w:gridCol w:w="1740"/>
        <w:gridCol w:w="1740"/>
        <w:gridCol w:w="1740"/>
      </w:tblGrid>
      <w:tr w:rsidRPr="003720FE" w:rsidR="00D21EE8" w:rsidTr="00D21EE8">
        <w:trPr>
          <w:trHeight w:val="315"/>
        </w:trPr>
        <w:tc>
          <w:tcPr>
            <w:tcW w:w="2325" w:type="dxa"/>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ÜLKELER</w:t>
            </w:r>
          </w:p>
        </w:tc>
        <w:tc>
          <w:tcPr>
            <w:tcW w:w="174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2016</w:t>
            </w:r>
          </w:p>
        </w:tc>
        <w:tc>
          <w:tcPr>
            <w:tcW w:w="174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2017</w:t>
            </w:r>
          </w:p>
        </w:tc>
        <w:tc>
          <w:tcPr>
            <w:tcW w:w="174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2018</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TOPLAM</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11.361.004</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12.718.142</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11.880.471</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Çin</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1.964.590</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2.134.176</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2.272.600</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ABD</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881.810</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1.200.058</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953.710</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Belçika</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577.366</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718.810</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691.150</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Hindistan</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527.622</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633.289</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673.818</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Birleşik Krallık</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1.106.717</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1.099.103</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604.136</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G. Afrika Cum.</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332.993</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410.864</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406.244</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Vietnam</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219.281</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291.962</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342.561</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Kanada</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236.689</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363.512</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332.964</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Türkiye</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287.915</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325.148</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332.246</w:t>
            </w:r>
          </w:p>
        </w:tc>
      </w:tr>
      <w:tr w:rsidRPr="003720FE" w:rsidR="00D21EE8" w:rsidTr="00D21EE8">
        <w:trPr>
          <w:trHeight w:val="315"/>
        </w:trPr>
        <w:tc>
          <w:tcPr>
            <w:tcW w:w="232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Almanya</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440.715</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341.512</w:t>
            </w:r>
          </w:p>
        </w:tc>
        <w:tc>
          <w:tcPr>
            <w:tcW w:w="174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305.788</w:t>
            </w:r>
          </w:p>
        </w:tc>
      </w:tr>
    </w:tbl>
    <w:p w:rsidRPr="003720FE" w:rsidR="00D21EE8" w:rsidP="00D21EE8" w:rsidRDefault="00D21EE8">
      <w:pPr>
        <w:rPr>
          <w:rFonts w:cstheme="minorHAnsi"/>
        </w:rPr>
      </w:pPr>
    </w:p>
    <w:p w:rsidR="00535A55" w:rsidP="001215AD" w:rsidRDefault="00535A55">
      <w:pPr>
        <w:jc w:val="both"/>
        <w:rPr>
          <w:rStyle w:val="Gl"/>
          <w:rFonts w:cstheme="minorHAnsi"/>
          <w:color w:val="212529"/>
          <w:sz w:val="28"/>
          <w:szCs w:val="28"/>
          <w:shd w:val="clear" w:color="auto" w:fill="FFFFFF"/>
        </w:rPr>
      </w:pPr>
    </w:p>
    <w:p w:rsidR="00535A55" w:rsidP="001215AD" w:rsidRDefault="00535A55">
      <w:pPr>
        <w:jc w:val="both"/>
        <w:rPr>
          <w:rStyle w:val="Gl"/>
          <w:rFonts w:cstheme="minorHAnsi"/>
          <w:color w:val="212529"/>
          <w:sz w:val="28"/>
          <w:szCs w:val="28"/>
          <w:shd w:val="clear" w:color="auto" w:fill="FFFFFF"/>
        </w:rPr>
      </w:pPr>
    </w:p>
    <w:p w:rsidRPr="002E545A" w:rsidR="003720FE" w:rsidP="001215AD" w:rsidRDefault="00D21EE8">
      <w:pPr>
        <w:jc w:val="both"/>
        <w:rPr>
          <w:rStyle w:val="Gl"/>
          <w:rFonts w:cstheme="minorHAnsi"/>
          <w:color w:val="212529"/>
          <w:sz w:val="28"/>
          <w:szCs w:val="28"/>
          <w:shd w:val="clear" w:color="auto" w:fill="FFFFFF"/>
        </w:rPr>
      </w:pPr>
      <w:r w:rsidRPr="002E545A">
        <w:rPr>
          <w:rStyle w:val="Gl"/>
          <w:rFonts w:cstheme="minorHAnsi"/>
          <w:color w:val="212529"/>
          <w:sz w:val="28"/>
          <w:szCs w:val="28"/>
          <w:shd w:val="clear" w:color="auto" w:fill="FFFFFF"/>
        </w:rPr>
        <w:lastRenderedPageBreak/>
        <w:t>TÜRKİYE</w:t>
      </w:r>
      <w:r w:rsidR="002E545A">
        <w:rPr>
          <w:rStyle w:val="Gl"/>
          <w:rFonts w:cstheme="minorHAnsi"/>
          <w:color w:val="212529"/>
          <w:sz w:val="28"/>
          <w:szCs w:val="28"/>
          <w:shd w:val="clear" w:color="auto" w:fill="FFFFFF"/>
        </w:rPr>
        <w:t xml:space="preserve"> İ</w:t>
      </w:r>
      <w:r w:rsidRPr="002E545A">
        <w:rPr>
          <w:rStyle w:val="Gl"/>
          <w:rFonts w:cstheme="minorHAnsi"/>
          <w:color w:val="212529"/>
          <w:sz w:val="28"/>
          <w:szCs w:val="28"/>
          <w:shd w:val="clear" w:color="auto" w:fill="FFFFFF"/>
        </w:rPr>
        <w:t>L</w:t>
      </w:r>
      <w:r w:rsidR="002E545A">
        <w:rPr>
          <w:rStyle w:val="Gl"/>
          <w:rFonts w:cstheme="minorHAnsi"/>
          <w:color w:val="212529"/>
          <w:sz w:val="28"/>
          <w:szCs w:val="28"/>
          <w:shd w:val="clear" w:color="auto" w:fill="FFFFFF"/>
        </w:rPr>
        <w:t>E TİCARET</w:t>
      </w:r>
    </w:p>
    <w:p w:rsidRPr="003720FE" w:rsidR="00D21EE8" w:rsidP="001215AD" w:rsidRDefault="00D21EE8">
      <w:pPr>
        <w:jc w:val="both"/>
        <w:rPr>
          <w:rFonts w:cstheme="minorHAnsi"/>
          <w:color w:val="212529"/>
          <w:shd w:val="clear" w:color="auto" w:fill="FFFFFF"/>
        </w:rPr>
      </w:pPr>
      <w:r w:rsidRPr="003720FE">
        <w:rPr>
          <w:rFonts w:cstheme="minorHAnsi"/>
          <w:color w:val="212529"/>
          <w:shd w:val="clear" w:color="auto" w:fill="FFFFFF"/>
        </w:rPr>
        <w:t>Türkiye ile Gana arasındaki dış ticarete ilişkin istatistiki veriler aşağıda yer almaktadır. 2010 yılı itibariyle 96,5 milyon dolar olarak gerçekleşen ihracatımıza karşılık 194,4 milyon dolarlık ithalatımız söz konusu iken 2016 yılında ihracatımız 298 milyon dolara ithalatımız ise 180 milyon dolarla maksimum değerlerine yükselmiştir. 2017 yılında ise ihracatımız 225 milyon dolara ithalatımız ise 128 milyon dolara gerilemiştir. 2017 yılında Gana ile ikili dış ticaretimiz 96,5 milyon dolar fazla vermiştir. Gana ile olan dış ticaretimiz son 10 yıllık dönem içerisinde 2007 ve 2008 yılları dışında genel olarak ülkemiz aleyhine açık vermiş 2014 yılından sonra ise dört yıl sürekli artı vermiştir. Önümüzdeki yıllarda Gana ile dış ticaretimizin artış göstermesi beklenmektedir.</w:t>
      </w:r>
    </w:p>
    <w:p w:rsidRPr="003720FE" w:rsidR="00D21EE8" w:rsidP="00D21EE8" w:rsidRDefault="00D21EE8">
      <w:pPr>
        <w:rPr>
          <w:rStyle w:val="Gl"/>
          <w:rFonts w:cstheme="minorHAnsi"/>
          <w:color w:val="212529"/>
          <w:shd w:val="clear" w:color="auto" w:fill="FFFFFF"/>
        </w:rPr>
      </w:pPr>
      <w:r w:rsidRPr="003720FE">
        <w:rPr>
          <w:rStyle w:val="Gl"/>
          <w:rFonts w:cstheme="minorHAnsi"/>
          <w:color w:val="212529"/>
          <w:shd w:val="clear" w:color="auto" w:fill="FFFFFF"/>
        </w:rPr>
        <w:t>Türkiye Gana Dış Ticaretinin Yıllar İtibariyle Gelişimi (1000$)</w:t>
      </w:r>
    </w:p>
    <w:tbl>
      <w:tblPr>
        <w:tblW w:w="0" w:type="auto"/>
        <w:tblCellMar>
          <w:left w:w="0" w:type="dxa"/>
          <w:right w:w="0" w:type="dxa"/>
        </w:tblCellMar>
        <w:tblLook w:val="04A0" w:firstRow="1" w:lastRow="0" w:firstColumn="1" w:lastColumn="0" w:noHBand="0" w:noVBand="1"/>
      </w:tblPr>
      <w:tblGrid>
        <w:gridCol w:w="2610"/>
        <w:gridCol w:w="1425"/>
        <w:gridCol w:w="1545"/>
        <w:gridCol w:w="1440"/>
        <w:gridCol w:w="1440"/>
      </w:tblGrid>
      <w:tr w:rsidRPr="003720FE" w:rsidR="00D21EE8" w:rsidTr="00D21EE8">
        <w:trPr>
          <w:trHeight w:val="285"/>
        </w:trPr>
        <w:tc>
          <w:tcPr>
            <w:tcW w:w="26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aps/>
                <w:color w:val="000000"/>
                <w:lang w:eastAsia="tr-TR"/>
              </w:rPr>
              <w:t>YILLAR</w:t>
            </w:r>
          </w:p>
        </w:tc>
        <w:tc>
          <w:tcPr>
            <w:tcW w:w="1425" w:type="dxa"/>
            <w:tcBorders>
              <w:top w:val="single" w:color="auto" w:sz="8" w:space="0"/>
              <w:left w:val="outset" w:color="F0F0F0" w:sz="6"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aps/>
                <w:color w:val="000000"/>
                <w:lang w:eastAsia="tr-TR"/>
              </w:rPr>
              <w:t>İHRACAT</w:t>
            </w:r>
          </w:p>
        </w:tc>
        <w:tc>
          <w:tcPr>
            <w:tcW w:w="1545" w:type="dxa"/>
            <w:tcBorders>
              <w:top w:val="single" w:color="auto" w:sz="8" w:space="0"/>
              <w:left w:val="outset" w:color="F0F0F0" w:sz="6"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aps/>
                <w:color w:val="000000"/>
                <w:lang w:eastAsia="tr-TR"/>
              </w:rPr>
              <w:t>İTHALAT</w:t>
            </w:r>
          </w:p>
        </w:tc>
        <w:tc>
          <w:tcPr>
            <w:tcW w:w="1440" w:type="dxa"/>
            <w:tcBorders>
              <w:top w:val="single" w:color="auto" w:sz="8" w:space="0"/>
              <w:left w:val="outset" w:color="F0F0F0" w:sz="6"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aps/>
                <w:color w:val="000000"/>
                <w:lang w:eastAsia="tr-TR"/>
              </w:rPr>
              <w:t>HACİM</w:t>
            </w:r>
          </w:p>
        </w:tc>
        <w:tc>
          <w:tcPr>
            <w:tcW w:w="1440" w:type="dxa"/>
            <w:tcBorders>
              <w:top w:val="single" w:color="auto" w:sz="8" w:space="0"/>
              <w:left w:val="outset" w:color="F0F0F0" w:sz="6"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aps/>
                <w:color w:val="000000"/>
                <w:lang w:eastAsia="tr-TR"/>
              </w:rPr>
              <w:t>DENGE</w:t>
            </w:r>
          </w:p>
        </w:tc>
      </w:tr>
      <w:tr w:rsidRPr="003720FE" w:rsidR="00D21EE8" w:rsidTr="00D21EE8">
        <w:trPr>
          <w:trHeight w:val="285"/>
        </w:trPr>
        <w:tc>
          <w:tcPr>
            <w:tcW w:w="2610" w:type="dxa"/>
            <w:tcBorders>
              <w:top w:val="outset" w:color="F0F0F0" w:sz="6" w:space="0"/>
              <w:left w:val="single" w:color="auto" w:sz="8" w:space="0"/>
              <w:bottom w:val="single" w:color="auto" w:sz="8" w:space="0"/>
              <w:right w:val="single" w:color="auto" w:sz="8" w:space="0"/>
            </w:tcBorders>
            <w:noWrap/>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2015</w:t>
            </w:r>
          </w:p>
        </w:tc>
        <w:tc>
          <w:tcPr>
            <w:tcW w:w="142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230.603</w:t>
            </w:r>
          </w:p>
        </w:tc>
        <w:tc>
          <w:tcPr>
            <w:tcW w:w="154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168.907</w:t>
            </w:r>
          </w:p>
        </w:tc>
        <w:tc>
          <w:tcPr>
            <w:tcW w:w="1440" w:type="dxa"/>
            <w:tcBorders>
              <w:top w:val="outset" w:color="F0F0F0" w:sz="6" w:space="0"/>
              <w:left w:val="outset" w:color="F0F0F0" w:sz="6" w:space="0"/>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399.510</w:t>
            </w:r>
          </w:p>
        </w:tc>
        <w:tc>
          <w:tcPr>
            <w:tcW w:w="1440"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61.696</w:t>
            </w:r>
          </w:p>
        </w:tc>
      </w:tr>
      <w:tr w:rsidRPr="003720FE" w:rsidR="00D21EE8" w:rsidTr="00D21EE8">
        <w:trPr>
          <w:trHeight w:val="285"/>
        </w:trPr>
        <w:tc>
          <w:tcPr>
            <w:tcW w:w="2610" w:type="dxa"/>
            <w:tcBorders>
              <w:top w:val="outset" w:color="F0F0F0" w:sz="6" w:space="0"/>
              <w:left w:val="single" w:color="auto" w:sz="8" w:space="0"/>
              <w:bottom w:val="single" w:color="auto" w:sz="8" w:space="0"/>
              <w:right w:val="single" w:color="auto" w:sz="8" w:space="0"/>
            </w:tcBorders>
            <w:noWrap/>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2016</w:t>
            </w:r>
          </w:p>
        </w:tc>
        <w:tc>
          <w:tcPr>
            <w:tcW w:w="142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298.475</w:t>
            </w:r>
          </w:p>
        </w:tc>
        <w:tc>
          <w:tcPr>
            <w:tcW w:w="154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180.478</w:t>
            </w:r>
          </w:p>
        </w:tc>
        <w:tc>
          <w:tcPr>
            <w:tcW w:w="1440" w:type="dxa"/>
            <w:tcBorders>
              <w:top w:val="outset" w:color="F0F0F0" w:sz="6" w:space="0"/>
              <w:left w:val="outset" w:color="F0F0F0" w:sz="6" w:space="0"/>
              <w:bottom w:val="single" w:color="auto" w:sz="8" w:space="0"/>
              <w:right w:val="single" w:color="auto" w:sz="8" w:space="0"/>
            </w:tcBorders>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478.953</w:t>
            </w:r>
          </w:p>
        </w:tc>
        <w:tc>
          <w:tcPr>
            <w:tcW w:w="1440"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117.996</w:t>
            </w:r>
          </w:p>
        </w:tc>
      </w:tr>
      <w:tr w:rsidRPr="003720FE" w:rsidR="00D21EE8" w:rsidTr="00D21EE8">
        <w:trPr>
          <w:trHeight w:val="285"/>
        </w:trPr>
        <w:tc>
          <w:tcPr>
            <w:tcW w:w="2610" w:type="dxa"/>
            <w:tcBorders>
              <w:top w:val="outset" w:color="F0F0F0" w:sz="6" w:space="0"/>
              <w:left w:val="single" w:color="auto" w:sz="8" w:space="0"/>
              <w:bottom w:val="single" w:color="auto" w:sz="8" w:space="0"/>
              <w:right w:val="single" w:color="auto" w:sz="8" w:space="0"/>
            </w:tcBorders>
            <w:noWrap/>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2017</w:t>
            </w:r>
          </w:p>
        </w:tc>
        <w:tc>
          <w:tcPr>
            <w:tcW w:w="142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224.520</w:t>
            </w:r>
          </w:p>
        </w:tc>
        <w:tc>
          <w:tcPr>
            <w:tcW w:w="154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128.019</w:t>
            </w:r>
          </w:p>
        </w:tc>
        <w:tc>
          <w:tcPr>
            <w:tcW w:w="1440" w:type="dxa"/>
            <w:tcBorders>
              <w:top w:val="outset" w:color="F0F0F0" w:sz="6" w:space="0"/>
              <w:left w:val="outset" w:color="F0F0F0" w:sz="6" w:space="0"/>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352.539</w:t>
            </w:r>
          </w:p>
        </w:tc>
        <w:tc>
          <w:tcPr>
            <w:tcW w:w="1440"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96.501</w:t>
            </w:r>
          </w:p>
        </w:tc>
      </w:tr>
      <w:tr w:rsidRPr="003720FE" w:rsidR="00D21EE8" w:rsidTr="00D21EE8">
        <w:trPr>
          <w:trHeight w:val="285"/>
        </w:trPr>
        <w:tc>
          <w:tcPr>
            <w:tcW w:w="2610" w:type="dxa"/>
            <w:tcBorders>
              <w:top w:val="outset" w:color="F0F0F0" w:sz="6" w:space="0"/>
              <w:left w:val="single" w:color="auto" w:sz="8" w:space="0"/>
              <w:bottom w:val="single" w:color="auto" w:sz="8" w:space="0"/>
              <w:right w:val="single" w:color="auto" w:sz="8" w:space="0"/>
            </w:tcBorders>
            <w:noWrap/>
            <w:tcMar>
              <w:top w:w="0" w:type="dxa"/>
              <w:left w:w="108" w:type="dxa"/>
              <w:bottom w:w="0" w:type="dxa"/>
              <w:right w:w="108" w:type="dxa"/>
            </w:tcMa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2018</w:t>
            </w:r>
          </w:p>
        </w:tc>
        <w:tc>
          <w:tcPr>
            <w:tcW w:w="142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273,734</w:t>
            </w:r>
          </w:p>
        </w:tc>
        <w:tc>
          <w:tcPr>
            <w:tcW w:w="1545"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79,300</w:t>
            </w:r>
          </w:p>
        </w:tc>
        <w:tc>
          <w:tcPr>
            <w:tcW w:w="1440" w:type="dxa"/>
            <w:tcBorders>
              <w:top w:val="outset" w:color="F0F0F0" w:sz="6" w:space="0"/>
              <w:left w:val="outset" w:color="F0F0F0" w:sz="6" w:space="0"/>
              <w:bottom w:val="single" w:color="auto" w:sz="8" w:space="0"/>
              <w:right w:val="single" w:color="auto" w:sz="8" w:space="0"/>
            </w:tcBorders>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353,034</w:t>
            </w:r>
          </w:p>
        </w:tc>
        <w:tc>
          <w:tcPr>
            <w:tcW w:w="1440" w:type="dxa"/>
            <w:tcBorders>
              <w:top w:val="outset" w:color="F0F0F0" w:sz="6" w:space="0"/>
              <w:left w:val="outset" w:color="F0F0F0" w:sz="6" w:space="0"/>
              <w:bottom w:val="single" w:color="auto" w:sz="8" w:space="0"/>
              <w:right w:val="single" w:color="auto" w:sz="8" w:space="0"/>
            </w:tcBorders>
            <w:noWrap/>
            <w:tcMar>
              <w:top w:w="0" w:type="dxa"/>
              <w:left w:w="108" w:type="dxa"/>
              <w:bottom w:w="0" w:type="dxa"/>
              <w:right w:w="108"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194,434</w:t>
            </w:r>
          </w:p>
        </w:tc>
      </w:tr>
    </w:tbl>
    <w:p w:rsidRPr="003720FE" w:rsidR="00D21EE8" w:rsidP="00D21EE8" w:rsidRDefault="00D21EE8">
      <w:pPr>
        <w:rPr>
          <w:rFonts w:cstheme="minorHAnsi"/>
        </w:rPr>
      </w:pPr>
      <w:r w:rsidRPr="003720FE">
        <w:rPr>
          <w:rFonts w:eastAsia="Times New Roman" w:cstheme="minorHAnsi"/>
          <w:color w:val="212529"/>
          <w:lang w:eastAsia="tr-TR"/>
        </w:rPr>
        <w:t>Kaynak: TUİK</w:t>
      </w:r>
      <w:r w:rsidRPr="003720FE">
        <w:rPr>
          <w:rFonts w:eastAsia="Times New Roman" w:cstheme="minorHAnsi"/>
          <w:color w:val="212529"/>
          <w:lang w:eastAsia="tr-TR"/>
        </w:rPr>
        <w:br/>
      </w:r>
      <w:r w:rsidRPr="003720FE">
        <w:rPr>
          <w:rFonts w:eastAsia="Times New Roman" w:cstheme="minorHAnsi"/>
          <w:color w:val="000000"/>
          <w:lang w:eastAsia="tr-TR"/>
        </w:rPr>
        <w:t>             </w:t>
      </w: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r w:rsidRPr="003720FE">
        <w:rPr>
          <w:rFonts w:eastAsia="Times New Roman" w:cstheme="minorHAnsi"/>
          <w:b/>
          <w:bCs/>
          <w:color w:val="212529"/>
          <w:lang w:eastAsia="tr-TR"/>
        </w:rPr>
        <w:t>Türkiye’nin Gana’ya İhracatı</w:t>
      </w:r>
    </w:p>
    <w:p w:rsidRPr="003720FE" w:rsidR="001215AD" w:rsidP="001215AD" w:rsidRDefault="00D21EE8">
      <w:pPr>
        <w:jc w:val="both"/>
        <w:rPr>
          <w:rFonts w:cstheme="minorHAnsi"/>
          <w:color w:val="212529"/>
        </w:rPr>
      </w:pPr>
      <w:r w:rsidRPr="003720FE">
        <w:rPr>
          <w:rFonts w:cstheme="minorHAnsi"/>
          <w:color w:val="212529"/>
        </w:rPr>
        <w:t>2018  yılında  ülkemizden Gana’ya 400’ün üzerinde  farklı  ürünün ihracatı gerçekleştirilmiştir.</w:t>
      </w:r>
      <w:r w:rsidRPr="003720FE">
        <w:rPr>
          <w:rFonts w:cstheme="minorHAnsi"/>
          <w:color w:val="212529"/>
        </w:rPr>
        <w:br/>
        <w:t>İhracatımızda önem taşıyan başlıca ürünler çimento, makarna, demir çelik ürünleri, izole edilmiş kablo ve teller, un ve şekerdir. Ülkemizden Gana’ya son üç yıl içerisinde gerçekleştirdiğimiz başlıca ürünlerin listesi aşağıda verilmektedir.</w:t>
      </w:r>
    </w:p>
    <w:p w:rsidRPr="003720FE" w:rsidR="001215AD" w:rsidP="001215AD" w:rsidRDefault="00D21EE8">
      <w:pPr>
        <w:jc w:val="both"/>
        <w:rPr>
          <w:rStyle w:val="Vurgu"/>
          <w:rFonts w:cstheme="minorHAnsi"/>
          <w:b/>
          <w:bCs/>
          <w:color w:val="212529"/>
        </w:rPr>
      </w:pPr>
      <w:r w:rsidRPr="003720FE">
        <w:rPr>
          <w:rFonts w:cstheme="minorHAnsi"/>
          <w:color w:val="212529"/>
          <w:shd w:val="clear" w:color="auto" w:fill="FFFFFF"/>
        </w:rPr>
        <w:t> </w:t>
      </w:r>
      <w:r w:rsidRPr="003720FE">
        <w:rPr>
          <w:rFonts w:cstheme="minorHAnsi"/>
          <w:color w:val="212529"/>
        </w:rPr>
        <w:br/>
      </w:r>
      <w:r w:rsidRPr="003720FE">
        <w:rPr>
          <w:rStyle w:val="Vurgu"/>
          <w:rFonts w:cstheme="minorHAnsi"/>
          <w:b/>
          <w:bCs/>
          <w:color w:val="212529"/>
        </w:rPr>
        <w:t>Türkiye’nin Başlıca Ürünler İtibarı İle Gana’ya İhracatı</w:t>
      </w:r>
    </w:p>
    <w:tbl>
      <w:tblPr>
        <w:tblW w:w="9126" w:type="dxa"/>
        <w:tblCellMar>
          <w:left w:w="0" w:type="dxa"/>
          <w:right w:w="0" w:type="dxa"/>
        </w:tblCellMar>
        <w:tblLook w:val="04A0" w:firstRow="1" w:lastRow="0" w:firstColumn="1" w:lastColumn="0" w:noHBand="0" w:noVBand="1"/>
      </w:tblPr>
      <w:tblGrid>
        <w:gridCol w:w="1075"/>
        <w:gridCol w:w="4620"/>
        <w:gridCol w:w="1098"/>
        <w:gridCol w:w="1098"/>
        <w:gridCol w:w="1235"/>
      </w:tblGrid>
      <w:tr w:rsidRPr="003720FE" w:rsidR="00D21EE8" w:rsidTr="00D21EE8">
        <w:trPr>
          <w:trHeight w:val="276"/>
        </w:trPr>
        <w:tc>
          <w:tcPr>
            <w:tcW w:w="1075" w:type="dxa"/>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GTİP</w:t>
            </w:r>
          </w:p>
        </w:tc>
        <w:tc>
          <w:tcPr>
            <w:tcW w:w="4620"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ÜRÜN ADI</w:t>
            </w:r>
          </w:p>
        </w:tc>
        <w:tc>
          <w:tcPr>
            <w:tcW w:w="1098"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2016</w:t>
            </w:r>
          </w:p>
        </w:tc>
        <w:tc>
          <w:tcPr>
            <w:tcW w:w="1098"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2017</w:t>
            </w:r>
          </w:p>
        </w:tc>
        <w:tc>
          <w:tcPr>
            <w:tcW w:w="1235"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2018</w:t>
            </w:r>
          </w:p>
        </w:tc>
      </w:tr>
      <w:tr w:rsidRPr="003720FE" w:rsidR="00D21EE8" w:rsidTr="00D21EE8">
        <w:trPr>
          <w:trHeight w:val="276"/>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TOPLAM</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298,469</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224,551</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273,734</w:t>
            </w:r>
          </w:p>
        </w:tc>
      </w:tr>
      <w:tr w:rsidRPr="003720FE" w:rsidR="00D21EE8" w:rsidTr="00D21EE8">
        <w:trPr>
          <w:trHeight w:val="276"/>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'2523</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Çimento</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15,605</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31,438</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61,708</w:t>
            </w:r>
          </w:p>
        </w:tc>
      </w:tr>
      <w:tr w:rsidRPr="003720FE" w:rsidR="00D21EE8" w:rsidTr="00D21EE8">
        <w:trPr>
          <w:trHeight w:val="276"/>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'1902</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Makarnalar ve kuskus</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12,112</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20,824</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27,877</w:t>
            </w:r>
          </w:p>
        </w:tc>
      </w:tr>
      <w:tr w:rsidRPr="003720FE" w:rsidR="00D21EE8" w:rsidTr="00D21EE8">
        <w:trPr>
          <w:trHeight w:val="329"/>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'7216</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Demir veya alaşımsız çelikten profiller</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1,316</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11,830</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21,791</w:t>
            </w:r>
          </w:p>
        </w:tc>
      </w:tr>
      <w:tr w:rsidRPr="003720FE" w:rsidR="00D21EE8" w:rsidTr="00D21EE8">
        <w:trPr>
          <w:trHeight w:val="827"/>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'8544</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İzole edilmiş teller, kablolar ve diğer elektrik iletkenler; tek tek kaplanmış liflerden oluşan fiber optik kablolar</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18,948</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17,556</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16,668</w:t>
            </w:r>
          </w:p>
        </w:tc>
      </w:tr>
      <w:tr w:rsidRPr="003720FE" w:rsidR="00D21EE8" w:rsidTr="00D21EE8">
        <w:trPr>
          <w:trHeight w:val="276"/>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'1101</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Buğday unu/mahlut unu</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11,425</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12,857</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12,623</w:t>
            </w:r>
          </w:p>
        </w:tc>
      </w:tr>
      <w:tr w:rsidRPr="003720FE" w:rsidR="00D21EE8" w:rsidTr="00D21EE8">
        <w:trPr>
          <w:trHeight w:val="866"/>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'7308</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Demir veya çelikten inşaat ve inşaat aksamı, inşaatta kullanılmak üzere hazırlanmış demir veya çelikten sac, çubuk, vb.</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14,725</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8,737</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7,157</w:t>
            </w:r>
          </w:p>
        </w:tc>
      </w:tr>
      <w:tr w:rsidRPr="003720FE" w:rsidR="00D21EE8" w:rsidTr="00D21EE8">
        <w:trPr>
          <w:trHeight w:val="827"/>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lastRenderedPageBreak/>
              <w:t>'1702</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Diğer şekerler (kimyaca saf laktoz/maltoz/glikoz/fruktoz), şeker şurupları, suni bal ve karamel</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764</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5,006</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5,629</w:t>
            </w:r>
          </w:p>
        </w:tc>
      </w:tr>
      <w:tr w:rsidRPr="003720FE" w:rsidR="00D21EE8" w:rsidTr="00D21EE8">
        <w:trPr>
          <w:trHeight w:val="526"/>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'7213</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Demir veya alaşımsız çelikten filmaşin (sıcak haddelenmiş, kangal halinde)</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0</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5,131</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4,610</w:t>
            </w:r>
          </w:p>
        </w:tc>
      </w:tr>
      <w:tr w:rsidRPr="003720FE" w:rsidR="00D21EE8" w:rsidTr="00D21EE8">
        <w:trPr>
          <w:trHeight w:val="507"/>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'8504</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Elektrik transformatörleri, statik konvertörler (örneğin; redresörler) ve endüktörler</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10,685</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1,543</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4,021</w:t>
            </w:r>
          </w:p>
        </w:tc>
      </w:tr>
      <w:tr w:rsidRPr="003720FE" w:rsidR="00D21EE8" w:rsidTr="00D21EE8">
        <w:trPr>
          <w:trHeight w:val="660"/>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'3105</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Azot, fosfor ve potasyumun ikisini veya üçünü içeren mineral veya kimyasal gübreler</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10,655</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7,751</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4,016</w:t>
            </w:r>
          </w:p>
        </w:tc>
      </w:tr>
      <w:tr w:rsidRPr="003720FE" w:rsidR="00D21EE8" w:rsidTr="00D21EE8">
        <w:trPr>
          <w:trHeight w:val="800"/>
        </w:trPr>
        <w:tc>
          <w:tcPr>
            <w:tcW w:w="1075"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'7214</w:t>
            </w:r>
          </w:p>
        </w:tc>
        <w:tc>
          <w:tcPr>
            <w:tcW w:w="4620"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Demir veya alaşımsız çelikten çubuklar (dövülmüş, sıcak haddelenmiş, haddeleme işleminden sonra burulmuş olanIar dahil)</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200</w:t>
            </w:r>
          </w:p>
        </w:tc>
        <w:tc>
          <w:tcPr>
            <w:tcW w:w="1098"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2,017</w:t>
            </w:r>
          </w:p>
        </w:tc>
        <w:tc>
          <w:tcPr>
            <w:tcW w:w="1235"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3,542</w:t>
            </w:r>
          </w:p>
        </w:tc>
      </w:tr>
    </w:tbl>
    <w:p w:rsidRPr="003720FE" w:rsidR="00D21EE8" w:rsidP="00D21EE8" w:rsidRDefault="00D21EE8">
      <w:pPr>
        <w:rPr>
          <w:rFonts w:cstheme="minorHAnsi"/>
        </w:rPr>
      </w:pPr>
    </w:p>
    <w:p w:rsidRPr="003720FE" w:rsidR="00D21EE8" w:rsidP="00D21EE8" w:rsidRDefault="00D21EE8">
      <w:pPr>
        <w:spacing w:after="0" w:line="240" w:lineRule="auto"/>
        <w:rPr>
          <w:rFonts w:eastAsia="Times New Roman" w:cstheme="minorHAnsi"/>
          <w:lang w:eastAsia="tr-TR"/>
        </w:rPr>
      </w:pPr>
      <w:r w:rsidRPr="003720FE">
        <w:rPr>
          <w:rFonts w:eastAsia="Times New Roman" w:cstheme="minorHAnsi"/>
          <w:b/>
          <w:bCs/>
          <w:i/>
          <w:iCs/>
          <w:color w:val="212529"/>
          <w:lang w:eastAsia="tr-TR"/>
        </w:rPr>
        <w:t>Türkiye’nin Gana’dan İthalatı</w:t>
      </w: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r w:rsidRPr="003720FE">
        <w:rPr>
          <w:rFonts w:eastAsia="Times New Roman" w:cstheme="minorHAnsi"/>
          <w:color w:val="212529"/>
          <w:lang w:eastAsia="tr-TR"/>
        </w:rPr>
        <w:br/>
        <w:t>2018 yılı itibariyle ülkemiz Gana’dan dört</w:t>
      </w:r>
      <w:r w:rsidRPr="003720FE" w:rsidR="001215AD">
        <w:rPr>
          <w:rFonts w:eastAsia="Times New Roman" w:cstheme="minorHAnsi"/>
          <w:color w:val="212529"/>
          <w:lang w:eastAsia="tr-TR"/>
        </w:rPr>
        <w:t>l</w:t>
      </w:r>
      <w:r w:rsidRPr="003720FE">
        <w:rPr>
          <w:rFonts w:eastAsia="Times New Roman" w:cstheme="minorHAnsi"/>
          <w:color w:val="212529"/>
          <w:lang w:eastAsia="tr-TR"/>
        </w:rPr>
        <w:t>ü bazda 35 kalem ürün ithal etmiştir. İthalatımızda en önemli ürünler kakao ve kakao ürünleri ile altındır. Bu iki ürün Gana’dan olan ithalatımızın  %80’inden fazlasını oluşturmaktadır.</w:t>
      </w: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r w:rsidRPr="003720FE">
        <w:rPr>
          <w:rFonts w:eastAsia="Times New Roman" w:cstheme="minorHAnsi"/>
          <w:color w:val="212529"/>
          <w:lang w:eastAsia="tr-TR"/>
        </w:rPr>
        <w:br/>
      </w:r>
      <w:r w:rsidRPr="003720FE">
        <w:rPr>
          <w:rFonts w:eastAsia="Times New Roman" w:cstheme="minorHAnsi"/>
          <w:b/>
          <w:bCs/>
          <w:i/>
          <w:iCs/>
          <w:color w:val="212529"/>
          <w:lang w:eastAsia="tr-TR"/>
        </w:rPr>
        <w:t>Türkiye’nin  Ürünler İtibarı İle Gana’dan İthalatı </w:t>
      </w: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r w:rsidRPr="003720FE">
        <w:rPr>
          <w:rFonts w:eastAsia="Times New Roman" w:cstheme="minorHAnsi"/>
          <w:color w:val="212529"/>
          <w:lang w:eastAsia="tr-TR"/>
        </w:rPr>
        <w:br/>
      </w:r>
      <w:r w:rsidRPr="003720FE">
        <w:rPr>
          <w:rFonts w:eastAsia="Times New Roman" w:cstheme="minorHAnsi"/>
          <w:color w:val="212529"/>
          <w:shd w:val="clear" w:color="auto" w:fill="FFFFFF"/>
          <w:lang w:eastAsia="tr-TR"/>
        </w:rPr>
        <w:t> </w:t>
      </w:r>
    </w:p>
    <w:tbl>
      <w:tblPr>
        <w:tblW w:w="9426" w:type="dxa"/>
        <w:tblCellMar>
          <w:left w:w="0" w:type="dxa"/>
          <w:right w:w="0" w:type="dxa"/>
        </w:tblCellMar>
        <w:tblLook w:val="04A0" w:firstRow="1" w:lastRow="0" w:firstColumn="1" w:lastColumn="0" w:noHBand="0" w:noVBand="1"/>
      </w:tblPr>
      <w:tblGrid>
        <w:gridCol w:w="1350"/>
        <w:gridCol w:w="4532"/>
        <w:gridCol w:w="1134"/>
        <w:gridCol w:w="1276"/>
        <w:gridCol w:w="1134"/>
      </w:tblGrid>
      <w:tr w:rsidRPr="003720FE" w:rsidR="00D21EE8" w:rsidTr="00D21EE8">
        <w:trPr>
          <w:trHeight w:val="315"/>
        </w:trPr>
        <w:tc>
          <w:tcPr>
            <w:tcW w:w="1350" w:type="dxa"/>
            <w:tcBorders>
              <w:top w:val="single" w:color="auto" w:sz="8" w:space="0"/>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GTİP</w:t>
            </w:r>
          </w:p>
        </w:tc>
        <w:tc>
          <w:tcPr>
            <w:tcW w:w="4532"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ÜRÜN ADI</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2016</w:t>
            </w:r>
          </w:p>
        </w:tc>
        <w:tc>
          <w:tcPr>
            <w:tcW w:w="1276"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2017</w:t>
            </w:r>
          </w:p>
        </w:tc>
        <w:tc>
          <w:tcPr>
            <w:tcW w:w="1134" w:type="dxa"/>
            <w:tcBorders>
              <w:top w:val="single" w:color="auto" w:sz="8" w:space="0"/>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2018</w:t>
            </w:r>
          </w:p>
        </w:tc>
      </w:tr>
      <w:tr w:rsidRPr="003720FE" w:rsidR="00D21EE8" w:rsidTr="00D21EE8">
        <w:trPr>
          <w:trHeight w:val="315"/>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TOPLAM</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180,478</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128,019</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b/>
                <w:bCs/>
                <w:color w:val="000000"/>
                <w:lang w:eastAsia="tr-TR"/>
              </w:rPr>
              <w:t>79,300</w:t>
            </w:r>
          </w:p>
        </w:tc>
      </w:tr>
      <w:tr w:rsidRPr="003720FE" w:rsidR="00D21EE8" w:rsidTr="00D21EE8">
        <w:trPr>
          <w:trHeight w:val="630"/>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'1801</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Kakao dane ve kırıkları (ham/kavrulmuş, bütün/kırık)</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95,790</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51,068</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37,574</w:t>
            </w:r>
          </w:p>
        </w:tc>
      </w:tr>
      <w:tr w:rsidRPr="003720FE" w:rsidR="00D21EE8" w:rsidTr="00D21EE8">
        <w:trPr>
          <w:trHeight w:val="315"/>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'1803</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Kakao hamuru</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39,507</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23,918</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12,082</w:t>
            </w:r>
          </w:p>
        </w:tc>
      </w:tr>
      <w:tr w:rsidRPr="003720FE" w:rsidR="00D21EE8" w:rsidTr="00D21EE8">
        <w:trPr>
          <w:trHeight w:val="945"/>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'7108</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Altın (platin kaplamalı altın dahil) (işlenmemiş veya yarı işlenmiş ya da pudra halinde)</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21,726</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35,781</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10,984</w:t>
            </w:r>
          </w:p>
        </w:tc>
      </w:tr>
      <w:tr w:rsidRPr="003720FE" w:rsidR="00D21EE8" w:rsidTr="00D21EE8">
        <w:trPr>
          <w:trHeight w:val="315"/>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'1804</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Kakao yağı</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9,772</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5,698</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5,588</w:t>
            </w:r>
          </w:p>
        </w:tc>
      </w:tr>
      <w:tr w:rsidRPr="003720FE" w:rsidR="00D21EE8" w:rsidTr="00D21EE8">
        <w:trPr>
          <w:trHeight w:val="668"/>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'2306</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Bitkisel yağların üretiminden (23.04-05' hariç)arta kalan küspe ve katı atıklar</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2,323</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2,497</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4,489</w:t>
            </w:r>
          </w:p>
        </w:tc>
      </w:tr>
      <w:tr w:rsidRPr="003720FE" w:rsidR="00D21EE8" w:rsidTr="00D21EE8">
        <w:trPr>
          <w:trHeight w:val="630"/>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'1805</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Kakao tozu (ilave şeker/diğer tatlandırıcı maddeler içermeyen)</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4,455</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5,475</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2,881</w:t>
            </w:r>
          </w:p>
        </w:tc>
      </w:tr>
      <w:tr w:rsidRPr="003720FE" w:rsidR="00D21EE8" w:rsidTr="00D21EE8">
        <w:trPr>
          <w:trHeight w:val="315"/>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'1201</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Soya fasulyesi</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2,327</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914</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1,900</w:t>
            </w:r>
          </w:p>
        </w:tc>
      </w:tr>
      <w:tr w:rsidRPr="003720FE" w:rsidR="00D21EE8" w:rsidTr="00D21EE8">
        <w:trPr>
          <w:trHeight w:val="315"/>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'7602</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Aluminyum döküntü ve hurdaları</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0</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123</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916</w:t>
            </w:r>
          </w:p>
        </w:tc>
      </w:tr>
      <w:tr w:rsidRPr="003720FE" w:rsidR="00D21EE8" w:rsidTr="00D21EE8">
        <w:trPr>
          <w:trHeight w:val="630"/>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'2302</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Hububat ve baklagillerin kepek, kavuz ve diğer kalıntıları</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2,644</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1,731</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751</w:t>
            </w:r>
          </w:p>
        </w:tc>
      </w:tr>
      <w:tr w:rsidRPr="003720FE" w:rsidR="00D21EE8" w:rsidTr="00D21EE8">
        <w:trPr>
          <w:trHeight w:val="315"/>
        </w:trPr>
        <w:tc>
          <w:tcPr>
            <w:tcW w:w="1350"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'0303</w:t>
            </w:r>
          </w:p>
        </w:tc>
        <w:tc>
          <w:tcPr>
            <w:tcW w:w="4532"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bottom"/>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Balıklar (dondurulmuş)</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736</w:t>
            </w:r>
          </w:p>
        </w:tc>
        <w:tc>
          <w:tcPr>
            <w:tcW w:w="1276"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0</w:t>
            </w:r>
          </w:p>
        </w:tc>
        <w:tc>
          <w:tcPr>
            <w:tcW w:w="1134" w:type="dxa"/>
            <w:tcBorders>
              <w:top w:val="nil"/>
              <w:left w:val="nil"/>
              <w:bottom w:val="single" w:color="auto" w:sz="8" w:space="0"/>
              <w:right w:val="single" w:color="auto" w:sz="8" w:space="0"/>
            </w:tcBorders>
            <w:shd w:val="clear" w:color="auto" w:fill="FFFFFF"/>
            <w:tcMar>
              <w:top w:w="0" w:type="dxa"/>
              <w:left w:w="70" w:type="dxa"/>
              <w:bottom w:w="0" w:type="dxa"/>
              <w:right w:w="70" w:type="dxa"/>
            </w:tcMar>
            <w:vAlign w:val="center"/>
            <w:hideMark/>
          </w:tcPr>
          <w:p w:rsidRPr="003720FE" w:rsidR="00D21EE8" w:rsidP="00D21EE8" w:rsidRDefault="00D21EE8">
            <w:pPr>
              <w:spacing w:after="0" w:line="240" w:lineRule="auto"/>
              <w:jc w:val="both"/>
              <w:rPr>
                <w:rFonts w:eastAsia="Times New Roman" w:cstheme="minorHAnsi"/>
                <w:color w:val="212529"/>
                <w:lang w:eastAsia="tr-TR"/>
              </w:rPr>
            </w:pPr>
            <w:r w:rsidRPr="003720FE">
              <w:rPr>
                <w:rFonts w:eastAsia="Times New Roman" w:cstheme="minorHAnsi"/>
                <w:color w:val="000000"/>
                <w:lang w:eastAsia="tr-TR"/>
              </w:rPr>
              <w:t>662</w:t>
            </w:r>
          </w:p>
        </w:tc>
      </w:tr>
    </w:tbl>
    <w:p w:rsidRPr="003720FE" w:rsidR="00CB1E1D" w:rsidP="00D21EE8" w:rsidRDefault="00CB1E1D">
      <w:pPr>
        <w:rPr>
          <w:rFonts w:cstheme="minorHAnsi"/>
          <w:b/>
        </w:rPr>
      </w:pPr>
    </w:p>
    <w:p w:rsidRPr="002E545A" w:rsidR="002E545A" w:rsidP="002E545A" w:rsidRDefault="002E545A">
      <w:pPr>
        <w:jc w:val="both"/>
        <w:rPr>
          <w:rFonts w:eastAsia="Times New Roman" w:cs="Times New Roman"/>
          <w:b/>
          <w:bCs/>
          <w:color w:val="0F243E"/>
          <w:sz w:val="28"/>
          <w:szCs w:val="28"/>
          <w:lang w:eastAsia="tr-TR"/>
        </w:rPr>
      </w:pPr>
      <w:r w:rsidRPr="002E545A">
        <w:rPr>
          <w:rFonts w:eastAsia="Times New Roman" w:cs="Times New Roman"/>
          <w:b/>
          <w:bCs/>
          <w:color w:val="0F243E"/>
          <w:sz w:val="28"/>
          <w:szCs w:val="28"/>
          <w:lang w:eastAsia="tr-TR"/>
        </w:rPr>
        <w:lastRenderedPageBreak/>
        <w:t xml:space="preserve">GANA’NIN OTOMOTİV SEKTÖRÜ AÇISINDAN DEĞERLENDİRİLMESİ </w:t>
      </w:r>
    </w:p>
    <w:p w:rsidRPr="003720FE" w:rsidR="002E545A" w:rsidP="002E545A" w:rsidRDefault="002E545A">
      <w:pPr>
        <w:jc w:val="both"/>
        <w:rPr>
          <w:rFonts w:cstheme="minorHAnsi"/>
        </w:rPr>
      </w:pPr>
      <w:r w:rsidRPr="003720FE">
        <w:rPr>
          <w:rFonts w:cstheme="minorHAnsi"/>
        </w:rPr>
        <w:t xml:space="preserve">Gana, 27 milyonluk nüfusu ve 38 milyar USD’lik GSYİH’sı ile Afrika’da ekonomi olarak önde gelen ülkeler arasında yer almaktadır. Ülkedeki araç parkının 1 milyon adet civarında olduğu tahmin edilmektedir. Ülkenin otomotiv ithalatı 2 milyar USD’ye yakındır ve otomotiv ithalatında binek otomobillerin ağırlığı bulunmaktadır. </w:t>
      </w:r>
    </w:p>
    <w:p w:rsidRPr="003720FE" w:rsidR="002E545A" w:rsidP="002E545A" w:rsidRDefault="002E545A">
      <w:pPr>
        <w:jc w:val="both"/>
        <w:rPr>
          <w:rFonts w:cstheme="minorHAnsi"/>
        </w:rPr>
      </w:pPr>
      <w:r w:rsidRPr="003720FE">
        <w:rPr>
          <w:rFonts w:cstheme="minorHAnsi"/>
        </w:rPr>
        <w:t>Ülkenin binek otomobiller ithalatı 1 milyar USD’ye yakındır. Diğer önemli ithalat kalemleri 477 milyon USD ile eşya taşımaya mahsus motorlu taşıtlar, 112 milyon USD ile otobüs-minibüs-midibüslerdir. 8708 faslındaki yan sanayi ürünleri ithalatı ise 48 milyon USD’dir.</w:t>
      </w:r>
    </w:p>
    <w:p w:rsidRPr="003720FE" w:rsidR="002E545A" w:rsidP="002E545A" w:rsidRDefault="002E545A">
      <w:pPr>
        <w:jc w:val="both"/>
        <w:rPr>
          <w:rFonts w:cstheme="minorHAnsi"/>
        </w:rPr>
      </w:pPr>
      <w:r w:rsidRPr="003720FE">
        <w:rPr>
          <w:rFonts w:cstheme="minorHAnsi"/>
        </w:rPr>
        <w:t>Ülkenin otomotiv ürünleri ithalatında ABD 480 milyon USD ile öne çıkmaktadır. ABD’yi 193 milyon USD ile Kore Cumhuriyeti, 158 milyon USD ile Çin, 123 milyon USD ile Birleşik Arap Emirlikleri, 116 milyon USD ile Belçika, 111 milyon USD ile Birleşik Krallık, 106 milyon USD ile Japonya ve 105 milyon USD ile Güney Afrika Cumhuriyeti takip etmektedir.</w:t>
      </w:r>
    </w:p>
    <w:p w:rsidRPr="003720FE" w:rsidR="002E545A" w:rsidP="002E545A" w:rsidRDefault="002E545A">
      <w:pPr>
        <w:jc w:val="center"/>
        <w:rPr>
          <w:rFonts w:cstheme="minorHAnsi"/>
          <w:b/>
        </w:rPr>
      </w:pPr>
      <w:r w:rsidRPr="003720FE">
        <w:rPr>
          <w:rFonts w:cstheme="minorHAnsi"/>
          <w:b/>
        </w:rPr>
        <w:t>Gana’nın Otomotiv İthalatı (1000 USD)</w:t>
      </w:r>
    </w:p>
    <w:tbl>
      <w:tblPr>
        <w:tblW w:w="6816" w:type="dxa"/>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704"/>
        <w:gridCol w:w="1704"/>
        <w:gridCol w:w="1704"/>
        <w:gridCol w:w="1704"/>
      </w:tblGrid>
      <w:tr w:rsidRPr="003720FE" w:rsidR="002E545A" w:rsidTr="00A10FBF">
        <w:trPr>
          <w:trHeight w:val="226"/>
        </w:trPr>
        <w:tc>
          <w:tcPr>
            <w:tcW w:w="1704" w:type="dxa"/>
            <w:shd w:val="clear" w:color="auto" w:fill="auto"/>
            <w:noWrap/>
            <w:vAlign w:val="bottom"/>
            <w:hideMark/>
          </w:tcPr>
          <w:p w:rsidRPr="003720FE" w:rsidR="002E545A" w:rsidP="00A10FBF" w:rsidRDefault="002E545A">
            <w:pPr>
              <w:jc w:val="center"/>
              <w:rPr>
                <w:rFonts w:cstheme="minorHAnsi"/>
                <w:b/>
              </w:rPr>
            </w:pPr>
            <w:r w:rsidRPr="003720FE">
              <w:rPr>
                <w:rFonts w:cstheme="minorHAnsi"/>
                <w:b/>
              </w:rPr>
              <w:t>2015</w:t>
            </w:r>
          </w:p>
        </w:tc>
        <w:tc>
          <w:tcPr>
            <w:tcW w:w="1704" w:type="dxa"/>
          </w:tcPr>
          <w:p w:rsidRPr="003720FE" w:rsidR="002E545A" w:rsidP="00A10FBF" w:rsidRDefault="002E545A">
            <w:pPr>
              <w:jc w:val="center"/>
              <w:rPr>
                <w:rFonts w:cstheme="minorHAnsi"/>
                <w:b/>
              </w:rPr>
            </w:pPr>
            <w:r w:rsidRPr="003720FE">
              <w:rPr>
                <w:rFonts w:cstheme="minorHAnsi"/>
                <w:b/>
              </w:rPr>
              <w:t>2016</w:t>
            </w:r>
          </w:p>
        </w:tc>
        <w:tc>
          <w:tcPr>
            <w:tcW w:w="1704" w:type="dxa"/>
          </w:tcPr>
          <w:p w:rsidRPr="003720FE" w:rsidR="002E545A" w:rsidP="00A10FBF" w:rsidRDefault="002E545A">
            <w:pPr>
              <w:jc w:val="center"/>
              <w:rPr>
                <w:rFonts w:cstheme="minorHAnsi"/>
                <w:b/>
              </w:rPr>
            </w:pPr>
            <w:r w:rsidRPr="003720FE">
              <w:rPr>
                <w:rFonts w:cstheme="minorHAnsi"/>
                <w:b/>
              </w:rPr>
              <w:t>2017</w:t>
            </w:r>
          </w:p>
        </w:tc>
        <w:tc>
          <w:tcPr>
            <w:tcW w:w="1704" w:type="dxa"/>
          </w:tcPr>
          <w:p w:rsidRPr="003720FE" w:rsidR="002E545A" w:rsidP="00A10FBF" w:rsidRDefault="002E545A">
            <w:pPr>
              <w:jc w:val="center"/>
              <w:rPr>
                <w:rFonts w:cstheme="minorHAnsi"/>
                <w:b/>
              </w:rPr>
            </w:pPr>
            <w:r w:rsidRPr="003720FE">
              <w:rPr>
                <w:rFonts w:cstheme="minorHAnsi"/>
                <w:b/>
              </w:rPr>
              <w:t>2018</w:t>
            </w:r>
          </w:p>
        </w:tc>
      </w:tr>
      <w:tr w:rsidRPr="003720FE" w:rsidR="002E545A" w:rsidTr="00A10FBF">
        <w:trPr>
          <w:trHeight w:val="226"/>
        </w:trPr>
        <w:tc>
          <w:tcPr>
            <w:tcW w:w="1704" w:type="dxa"/>
            <w:shd w:val="clear" w:color="000000" w:fill="FFFFFF"/>
            <w:noWrap/>
            <w:vAlign w:val="center"/>
            <w:hideMark/>
          </w:tcPr>
          <w:p w:rsidRPr="003720FE" w:rsidR="002E545A" w:rsidP="00A10FBF" w:rsidRDefault="002E545A">
            <w:pPr>
              <w:jc w:val="center"/>
              <w:rPr>
                <w:rFonts w:cstheme="minorHAnsi"/>
              </w:rPr>
            </w:pPr>
            <w:r w:rsidRPr="003720FE">
              <w:rPr>
                <w:rFonts w:cstheme="minorHAnsi"/>
              </w:rPr>
              <w:t>n/a</w:t>
            </w:r>
          </w:p>
        </w:tc>
        <w:tc>
          <w:tcPr>
            <w:tcW w:w="1704" w:type="dxa"/>
            <w:shd w:val="clear" w:color="000000" w:fill="FFFFFF"/>
            <w:vAlign w:val="center"/>
          </w:tcPr>
          <w:p w:rsidRPr="003720FE" w:rsidR="002E545A" w:rsidP="00A10FBF" w:rsidRDefault="002E545A">
            <w:pPr>
              <w:jc w:val="center"/>
              <w:rPr>
                <w:rFonts w:cstheme="minorHAnsi"/>
              </w:rPr>
            </w:pPr>
            <w:r w:rsidRPr="003720FE">
              <w:rPr>
                <w:rFonts w:cstheme="minorHAnsi"/>
              </w:rPr>
              <w:t>1,788,571</w:t>
            </w:r>
          </w:p>
        </w:tc>
        <w:tc>
          <w:tcPr>
            <w:tcW w:w="1704" w:type="dxa"/>
            <w:shd w:val="clear" w:color="000000" w:fill="FFFFFF"/>
            <w:vAlign w:val="center"/>
          </w:tcPr>
          <w:p w:rsidRPr="003720FE" w:rsidR="002E545A" w:rsidP="00A10FBF" w:rsidRDefault="002E545A">
            <w:pPr>
              <w:jc w:val="center"/>
              <w:rPr>
                <w:rFonts w:cstheme="minorHAnsi"/>
              </w:rPr>
            </w:pPr>
            <w:r w:rsidRPr="003720FE">
              <w:rPr>
                <w:rFonts w:cstheme="minorHAnsi"/>
              </w:rPr>
              <w:t>1,872,472</w:t>
            </w:r>
          </w:p>
        </w:tc>
        <w:tc>
          <w:tcPr>
            <w:tcW w:w="1704" w:type="dxa"/>
            <w:shd w:val="clear" w:color="000000" w:fill="FFFFFF"/>
          </w:tcPr>
          <w:p w:rsidRPr="003720FE" w:rsidR="002E545A" w:rsidP="00A10FBF" w:rsidRDefault="002E545A">
            <w:pPr>
              <w:jc w:val="center"/>
              <w:rPr>
                <w:rFonts w:cstheme="minorHAnsi"/>
              </w:rPr>
            </w:pPr>
            <w:r w:rsidRPr="003720FE">
              <w:rPr>
                <w:rFonts w:cstheme="minorHAnsi"/>
              </w:rPr>
              <w:t>1,854,072</w:t>
            </w:r>
          </w:p>
        </w:tc>
      </w:tr>
    </w:tbl>
    <w:p w:rsidRPr="003720FE" w:rsidR="002E545A" w:rsidP="002E545A" w:rsidRDefault="002E545A">
      <w:pPr>
        <w:jc w:val="both"/>
        <w:rPr>
          <w:rFonts w:cstheme="minorHAnsi"/>
        </w:rPr>
      </w:pPr>
      <w:r w:rsidRPr="003720FE">
        <w:rPr>
          <w:rFonts w:cstheme="minorHAnsi"/>
        </w:rPr>
        <w:t xml:space="preserve">             Kaynak: Trademap- 87 faslı verileri</w:t>
      </w:r>
    </w:p>
    <w:p w:rsidRPr="003720FE" w:rsidR="002E545A" w:rsidP="002E545A" w:rsidRDefault="002E545A">
      <w:pPr>
        <w:jc w:val="both"/>
        <w:rPr>
          <w:rFonts w:cstheme="minorHAnsi"/>
        </w:rPr>
      </w:pPr>
      <w:r w:rsidRPr="003720FE">
        <w:rPr>
          <w:rFonts w:cstheme="minorHAnsi"/>
        </w:rPr>
        <w:t>Gana otomotiv pazarı, veriler her ne kadar çok güvenilir olmasa da, düşüş eğiliminde gözükmektedir. OICA verilerine göre Gana motorlu araçlar pazarı 2014 yılında 13.000 adet iken 2017 yılında 4000 adetlere gerilemiştir. Gana’da otomotiv üretimi bulunmamaktadır.</w:t>
      </w:r>
    </w:p>
    <w:p w:rsidRPr="003720FE" w:rsidR="002E545A" w:rsidP="002E545A" w:rsidRDefault="002E545A">
      <w:pPr>
        <w:ind w:left="2124" w:firstLine="708"/>
        <w:rPr>
          <w:rFonts w:cstheme="minorHAnsi"/>
          <w:b/>
        </w:rPr>
      </w:pPr>
      <w:r w:rsidRPr="003720FE">
        <w:rPr>
          <w:rFonts w:cstheme="minorHAnsi"/>
          <w:b/>
        </w:rPr>
        <w:t>Gana Otomotiv Sektörü (Adet)</w:t>
      </w:r>
    </w:p>
    <w:tbl>
      <w:tblPr>
        <w:tblW w:w="7625" w:type="dxa"/>
        <w:jc w:val="center"/>
        <w:tblCellMar>
          <w:left w:w="70" w:type="dxa"/>
          <w:right w:w="70" w:type="dxa"/>
        </w:tblCellMar>
        <w:tblLook w:val="04A0" w:firstRow="1" w:lastRow="0" w:firstColumn="1" w:lastColumn="0" w:noHBand="0" w:noVBand="1"/>
      </w:tblPr>
      <w:tblGrid>
        <w:gridCol w:w="2552"/>
        <w:gridCol w:w="1559"/>
        <w:gridCol w:w="1134"/>
        <w:gridCol w:w="1190"/>
        <w:gridCol w:w="1190"/>
      </w:tblGrid>
      <w:tr w:rsidRPr="003720FE" w:rsidR="002E545A" w:rsidTr="00A10FBF">
        <w:trPr>
          <w:trHeight w:val="318"/>
          <w:jc w:val="center"/>
        </w:trPr>
        <w:tc>
          <w:tcPr>
            <w:tcW w:w="255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720FE" w:rsidR="002E545A" w:rsidP="00A10FBF" w:rsidRDefault="002E545A">
            <w:pPr>
              <w:rPr>
                <w:rFonts w:eastAsia="Times New Roman" w:cstheme="minorHAnsi"/>
                <w:color w:val="000000"/>
                <w:lang w:eastAsia="tr-TR"/>
              </w:rPr>
            </w:pPr>
            <w:r w:rsidRPr="003720FE">
              <w:rPr>
                <w:rFonts w:eastAsia="Times New Roman" w:cstheme="minorHAnsi"/>
                <w:color w:val="000000"/>
                <w:lang w:eastAsia="tr-TR"/>
              </w:rPr>
              <w:t> </w:t>
            </w:r>
          </w:p>
        </w:tc>
        <w:tc>
          <w:tcPr>
            <w:tcW w:w="1559" w:type="dxa"/>
            <w:tcBorders>
              <w:top w:val="single" w:color="auto" w:sz="8" w:space="0"/>
              <w:left w:val="nil"/>
              <w:bottom w:val="single" w:color="auto" w:sz="8" w:space="0"/>
              <w:right w:val="single" w:color="auto" w:sz="8" w:space="0"/>
            </w:tcBorders>
            <w:shd w:val="clear" w:color="auto" w:fill="auto"/>
            <w:vAlign w:val="center"/>
            <w:hideMark/>
          </w:tcPr>
          <w:p w:rsidRPr="003720FE" w:rsidR="002E545A" w:rsidP="00A10FBF" w:rsidRDefault="002E545A">
            <w:pPr>
              <w:jc w:val="center"/>
              <w:rPr>
                <w:rFonts w:eastAsia="Times New Roman" w:cstheme="minorHAnsi"/>
                <w:b/>
                <w:bCs/>
                <w:color w:val="000000"/>
                <w:lang w:eastAsia="tr-TR"/>
              </w:rPr>
            </w:pPr>
            <w:r w:rsidRPr="003720FE">
              <w:rPr>
                <w:rFonts w:eastAsia="Times New Roman" w:cstheme="minorHAnsi"/>
                <w:b/>
                <w:bCs/>
                <w:color w:val="000000"/>
                <w:lang w:eastAsia="tr-TR"/>
              </w:rPr>
              <w:t>2014</w:t>
            </w:r>
          </w:p>
        </w:tc>
        <w:tc>
          <w:tcPr>
            <w:tcW w:w="1134" w:type="dxa"/>
            <w:tcBorders>
              <w:top w:val="single" w:color="auto" w:sz="8" w:space="0"/>
              <w:left w:val="nil"/>
              <w:bottom w:val="single" w:color="auto" w:sz="8" w:space="0"/>
              <w:right w:val="single" w:color="auto" w:sz="8" w:space="0"/>
            </w:tcBorders>
          </w:tcPr>
          <w:p w:rsidRPr="003720FE" w:rsidR="002E545A" w:rsidP="00A10FBF" w:rsidRDefault="002E545A">
            <w:pPr>
              <w:jc w:val="center"/>
              <w:rPr>
                <w:rFonts w:eastAsia="Times New Roman" w:cstheme="minorHAnsi"/>
                <w:b/>
                <w:bCs/>
                <w:color w:val="000000"/>
                <w:lang w:eastAsia="tr-TR"/>
              </w:rPr>
            </w:pPr>
            <w:r w:rsidRPr="003720FE">
              <w:rPr>
                <w:rFonts w:eastAsia="Times New Roman" w:cstheme="minorHAnsi"/>
                <w:b/>
                <w:bCs/>
                <w:color w:val="000000"/>
                <w:lang w:eastAsia="tr-TR"/>
              </w:rPr>
              <w:t>2015</w:t>
            </w:r>
          </w:p>
        </w:tc>
        <w:tc>
          <w:tcPr>
            <w:tcW w:w="1190" w:type="dxa"/>
            <w:tcBorders>
              <w:top w:val="single" w:color="auto" w:sz="8" w:space="0"/>
              <w:left w:val="nil"/>
              <w:bottom w:val="single" w:color="auto" w:sz="8" w:space="0"/>
              <w:right w:val="single" w:color="auto" w:sz="8" w:space="0"/>
            </w:tcBorders>
          </w:tcPr>
          <w:p w:rsidRPr="003720FE" w:rsidR="002E545A" w:rsidP="00A10FBF" w:rsidRDefault="002E545A">
            <w:pPr>
              <w:jc w:val="center"/>
              <w:rPr>
                <w:rFonts w:eastAsia="Times New Roman" w:cstheme="minorHAnsi"/>
                <w:b/>
                <w:bCs/>
                <w:color w:val="000000"/>
                <w:lang w:eastAsia="tr-TR"/>
              </w:rPr>
            </w:pPr>
            <w:r w:rsidRPr="003720FE">
              <w:rPr>
                <w:rFonts w:eastAsia="Times New Roman" w:cstheme="minorHAnsi"/>
                <w:b/>
                <w:bCs/>
                <w:color w:val="000000"/>
                <w:lang w:eastAsia="tr-TR"/>
              </w:rPr>
              <w:t>2016</w:t>
            </w:r>
          </w:p>
        </w:tc>
        <w:tc>
          <w:tcPr>
            <w:tcW w:w="1190" w:type="dxa"/>
            <w:tcBorders>
              <w:top w:val="single" w:color="auto" w:sz="8" w:space="0"/>
              <w:left w:val="nil"/>
              <w:bottom w:val="single" w:color="auto" w:sz="8" w:space="0"/>
              <w:right w:val="single" w:color="auto" w:sz="8" w:space="0"/>
            </w:tcBorders>
          </w:tcPr>
          <w:p w:rsidRPr="003720FE" w:rsidR="002E545A" w:rsidP="00A10FBF" w:rsidRDefault="002E545A">
            <w:pPr>
              <w:jc w:val="center"/>
              <w:rPr>
                <w:rFonts w:eastAsia="Times New Roman" w:cstheme="minorHAnsi"/>
                <w:b/>
                <w:bCs/>
                <w:color w:val="000000"/>
                <w:lang w:eastAsia="tr-TR"/>
              </w:rPr>
            </w:pPr>
            <w:r w:rsidRPr="003720FE">
              <w:rPr>
                <w:rFonts w:eastAsia="Times New Roman" w:cstheme="minorHAnsi"/>
                <w:b/>
                <w:bCs/>
                <w:color w:val="000000"/>
                <w:lang w:eastAsia="tr-TR"/>
              </w:rPr>
              <w:t>2017</w:t>
            </w:r>
          </w:p>
        </w:tc>
      </w:tr>
      <w:tr w:rsidRPr="003720FE" w:rsidR="002E545A" w:rsidTr="00A10FBF">
        <w:trPr>
          <w:trHeight w:val="318"/>
          <w:jc w:val="center"/>
        </w:trPr>
        <w:tc>
          <w:tcPr>
            <w:tcW w:w="2552" w:type="dxa"/>
            <w:tcBorders>
              <w:top w:val="nil"/>
              <w:left w:val="single" w:color="auto" w:sz="8" w:space="0"/>
              <w:bottom w:val="single" w:color="auto" w:sz="8" w:space="0"/>
              <w:right w:val="single" w:color="auto" w:sz="8" w:space="0"/>
            </w:tcBorders>
            <w:shd w:val="clear" w:color="auto" w:fill="auto"/>
            <w:noWrap/>
            <w:vAlign w:val="center"/>
            <w:hideMark/>
          </w:tcPr>
          <w:p w:rsidRPr="003720FE" w:rsidR="002E545A" w:rsidP="00A10FBF" w:rsidRDefault="002E545A">
            <w:pPr>
              <w:rPr>
                <w:rFonts w:eastAsia="Times New Roman" w:cstheme="minorHAnsi"/>
                <w:b/>
                <w:bCs/>
                <w:color w:val="000000"/>
                <w:lang w:eastAsia="tr-TR"/>
              </w:rPr>
            </w:pPr>
            <w:r w:rsidRPr="003720FE">
              <w:rPr>
                <w:rFonts w:eastAsia="Times New Roman" w:cstheme="minorHAnsi"/>
                <w:b/>
                <w:bCs/>
                <w:color w:val="000000"/>
                <w:lang w:eastAsia="tr-TR"/>
              </w:rPr>
              <w:t>Toplam Satış</w:t>
            </w:r>
          </w:p>
        </w:tc>
        <w:tc>
          <w:tcPr>
            <w:tcW w:w="1559" w:type="dxa"/>
            <w:tcBorders>
              <w:top w:val="nil"/>
              <w:left w:val="nil"/>
              <w:bottom w:val="single" w:color="auto" w:sz="8" w:space="0"/>
              <w:right w:val="single" w:color="auto" w:sz="8" w:space="0"/>
            </w:tcBorders>
            <w:shd w:val="clear" w:color="auto" w:fill="auto"/>
            <w:noWrap/>
            <w:vAlign w:val="center"/>
            <w:hideMark/>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13.000</w:t>
            </w:r>
          </w:p>
        </w:tc>
        <w:tc>
          <w:tcPr>
            <w:tcW w:w="1134" w:type="dxa"/>
            <w:tcBorders>
              <w:top w:val="nil"/>
              <w:left w:val="nil"/>
              <w:bottom w:val="single" w:color="auto" w:sz="8" w:space="0"/>
              <w:right w:val="single" w:color="auto" w:sz="8" w:space="0"/>
            </w:tcBorders>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4.800</w:t>
            </w:r>
          </w:p>
        </w:tc>
        <w:tc>
          <w:tcPr>
            <w:tcW w:w="1190" w:type="dxa"/>
            <w:tcBorders>
              <w:top w:val="nil"/>
              <w:left w:val="nil"/>
              <w:bottom w:val="single" w:color="auto" w:sz="8" w:space="0"/>
              <w:right w:val="single" w:color="auto" w:sz="8" w:space="0"/>
            </w:tcBorders>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7.400</w:t>
            </w:r>
          </w:p>
        </w:tc>
        <w:tc>
          <w:tcPr>
            <w:tcW w:w="1190" w:type="dxa"/>
            <w:tcBorders>
              <w:top w:val="nil"/>
              <w:left w:val="nil"/>
              <w:bottom w:val="single" w:color="auto" w:sz="8" w:space="0"/>
              <w:right w:val="single" w:color="auto" w:sz="8" w:space="0"/>
            </w:tcBorders>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4.217</w:t>
            </w:r>
          </w:p>
        </w:tc>
      </w:tr>
    </w:tbl>
    <w:p w:rsidRPr="003720FE" w:rsidR="002E545A" w:rsidP="002E545A" w:rsidRDefault="002E545A">
      <w:pPr>
        <w:jc w:val="both"/>
        <w:rPr>
          <w:rFonts w:cstheme="minorHAnsi"/>
        </w:rPr>
      </w:pPr>
      <w:r w:rsidRPr="003720FE">
        <w:rPr>
          <w:rFonts w:cstheme="minorHAnsi"/>
        </w:rPr>
        <w:t xml:space="preserve">             Kaynak: OICA</w:t>
      </w:r>
    </w:p>
    <w:p w:rsidRPr="003720FE" w:rsidR="002E545A" w:rsidP="002E545A" w:rsidRDefault="002E545A">
      <w:pPr>
        <w:jc w:val="both"/>
        <w:rPr>
          <w:rFonts w:cstheme="minorHAnsi"/>
        </w:rPr>
      </w:pPr>
      <w:r w:rsidRPr="003720FE">
        <w:rPr>
          <w:rFonts w:cstheme="minorHAnsi"/>
        </w:rPr>
        <w:t>Gana’ya 2016 yılında 63 milyon USD’lik otomotiv ihracatı yapılmış, ancak 2018 yılında ihracatımız 13,2 milyon USD’ye kadar gerilemiştir.  Ülkemizin Gana’ya ihracatında yan sanayinin ağırlığı bulunmakla birlikte, bu ülkeye ana sanayinde de bir miktar ihracat yapılmaktadır.</w:t>
      </w:r>
    </w:p>
    <w:p w:rsidRPr="003720FE" w:rsidR="002E545A" w:rsidP="002E545A" w:rsidRDefault="002E545A">
      <w:pPr>
        <w:tabs>
          <w:tab w:val="left" w:pos="1725"/>
        </w:tabs>
        <w:ind w:firstLine="720"/>
        <w:jc w:val="center"/>
        <w:rPr>
          <w:rFonts w:cstheme="minorHAnsi"/>
          <w:b/>
          <w:iCs/>
        </w:rPr>
      </w:pPr>
      <w:r w:rsidRPr="003720FE">
        <w:rPr>
          <w:rFonts w:cstheme="minorHAnsi"/>
          <w:b/>
          <w:iCs/>
        </w:rPr>
        <w:t>Gana’ya Yönelik Otomotiv İhracatımız - USD</w:t>
      </w:r>
    </w:p>
    <w:tbl>
      <w:tblPr>
        <w:tblW w:w="7825" w:type="dxa"/>
        <w:tblInd w:w="891" w:type="dxa"/>
        <w:tblCellMar>
          <w:left w:w="70" w:type="dxa"/>
          <w:right w:w="70" w:type="dxa"/>
        </w:tblCellMar>
        <w:tblLook w:val="04A0" w:firstRow="1" w:lastRow="0" w:firstColumn="1" w:lastColumn="0" w:noHBand="0" w:noVBand="1"/>
      </w:tblPr>
      <w:tblGrid>
        <w:gridCol w:w="1565"/>
        <w:gridCol w:w="1565"/>
        <w:gridCol w:w="1565"/>
        <w:gridCol w:w="1565"/>
        <w:gridCol w:w="1565"/>
      </w:tblGrid>
      <w:tr w:rsidRPr="003720FE" w:rsidR="002E545A" w:rsidTr="00A10FBF">
        <w:trPr>
          <w:trHeight w:val="239"/>
        </w:trPr>
        <w:tc>
          <w:tcPr>
            <w:tcW w:w="15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720FE" w:rsidR="002E545A" w:rsidP="00A10FBF" w:rsidRDefault="002E545A">
            <w:pPr>
              <w:jc w:val="center"/>
              <w:rPr>
                <w:rFonts w:cstheme="minorHAnsi"/>
                <w:b/>
              </w:rPr>
            </w:pPr>
            <w:r w:rsidRPr="003720FE">
              <w:rPr>
                <w:rFonts w:cstheme="minorHAnsi"/>
                <w:b/>
              </w:rPr>
              <w:t>2014</w:t>
            </w:r>
          </w:p>
        </w:tc>
        <w:tc>
          <w:tcPr>
            <w:tcW w:w="1565" w:type="dxa"/>
            <w:tcBorders>
              <w:top w:val="single" w:color="auto" w:sz="4" w:space="0"/>
              <w:left w:val="nil"/>
              <w:bottom w:val="single" w:color="auto" w:sz="4" w:space="0"/>
              <w:right w:val="single" w:color="auto" w:sz="4" w:space="0"/>
            </w:tcBorders>
            <w:shd w:val="clear" w:color="auto" w:fill="auto"/>
            <w:noWrap/>
            <w:vAlign w:val="bottom"/>
            <w:hideMark/>
          </w:tcPr>
          <w:p w:rsidRPr="003720FE" w:rsidR="002E545A" w:rsidP="00A10FBF" w:rsidRDefault="002E545A">
            <w:pPr>
              <w:jc w:val="center"/>
              <w:rPr>
                <w:rFonts w:cstheme="minorHAnsi"/>
                <w:b/>
              </w:rPr>
            </w:pPr>
            <w:r w:rsidRPr="003720FE">
              <w:rPr>
                <w:rFonts w:cstheme="minorHAnsi"/>
                <w:b/>
              </w:rPr>
              <w:t>2015</w:t>
            </w:r>
          </w:p>
        </w:tc>
        <w:tc>
          <w:tcPr>
            <w:tcW w:w="1565" w:type="dxa"/>
            <w:tcBorders>
              <w:top w:val="single" w:color="auto" w:sz="4" w:space="0"/>
              <w:left w:val="nil"/>
              <w:bottom w:val="single" w:color="auto" w:sz="4" w:space="0"/>
              <w:right w:val="single" w:color="auto" w:sz="4" w:space="0"/>
            </w:tcBorders>
            <w:shd w:val="clear" w:color="auto" w:fill="auto"/>
            <w:noWrap/>
            <w:vAlign w:val="bottom"/>
            <w:hideMark/>
          </w:tcPr>
          <w:p w:rsidRPr="003720FE" w:rsidR="002E545A" w:rsidP="00A10FBF" w:rsidRDefault="002E545A">
            <w:pPr>
              <w:jc w:val="center"/>
              <w:rPr>
                <w:rFonts w:cstheme="minorHAnsi"/>
                <w:b/>
              </w:rPr>
            </w:pPr>
            <w:r w:rsidRPr="003720FE">
              <w:rPr>
                <w:rFonts w:cstheme="minorHAnsi"/>
                <w:b/>
              </w:rPr>
              <w:t>2016</w:t>
            </w:r>
          </w:p>
        </w:tc>
        <w:tc>
          <w:tcPr>
            <w:tcW w:w="1565" w:type="dxa"/>
            <w:tcBorders>
              <w:top w:val="single" w:color="auto" w:sz="4" w:space="0"/>
              <w:left w:val="nil"/>
              <w:bottom w:val="single" w:color="auto" w:sz="4" w:space="0"/>
              <w:right w:val="single" w:color="auto" w:sz="4" w:space="0"/>
            </w:tcBorders>
          </w:tcPr>
          <w:p w:rsidRPr="003720FE" w:rsidR="002E545A" w:rsidP="00A10FBF" w:rsidRDefault="002E545A">
            <w:pPr>
              <w:jc w:val="center"/>
              <w:rPr>
                <w:rFonts w:cstheme="minorHAnsi"/>
                <w:b/>
              </w:rPr>
            </w:pPr>
            <w:r w:rsidRPr="003720FE">
              <w:rPr>
                <w:rFonts w:cstheme="minorHAnsi"/>
                <w:b/>
              </w:rPr>
              <w:t>2017</w:t>
            </w:r>
          </w:p>
        </w:tc>
        <w:tc>
          <w:tcPr>
            <w:tcW w:w="1565" w:type="dxa"/>
            <w:tcBorders>
              <w:top w:val="single" w:color="auto" w:sz="4" w:space="0"/>
              <w:left w:val="nil"/>
              <w:bottom w:val="single" w:color="auto" w:sz="4" w:space="0"/>
              <w:right w:val="single" w:color="auto" w:sz="4" w:space="0"/>
            </w:tcBorders>
          </w:tcPr>
          <w:p w:rsidRPr="003720FE" w:rsidR="002E545A" w:rsidP="00A10FBF" w:rsidRDefault="002E545A">
            <w:pPr>
              <w:jc w:val="center"/>
              <w:rPr>
                <w:rFonts w:cstheme="minorHAnsi"/>
                <w:b/>
              </w:rPr>
            </w:pPr>
            <w:r w:rsidRPr="003720FE">
              <w:rPr>
                <w:rFonts w:cstheme="minorHAnsi"/>
                <w:b/>
              </w:rPr>
              <w:t>2018</w:t>
            </w:r>
          </w:p>
        </w:tc>
      </w:tr>
      <w:tr w:rsidRPr="003720FE" w:rsidR="002E545A" w:rsidTr="00A10FBF">
        <w:trPr>
          <w:trHeight w:val="239"/>
        </w:trPr>
        <w:tc>
          <w:tcPr>
            <w:tcW w:w="1565" w:type="dxa"/>
            <w:tcBorders>
              <w:top w:val="nil"/>
              <w:left w:val="single" w:color="auto" w:sz="4" w:space="0"/>
              <w:bottom w:val="single" w:color="auto" w:sz="4" w:space="0"/>
              <w:right w:val="single" w:color="auto" w:sz="4" w:space="0"/>
            </w:tcBorders>
            <w:shd w:val="clear" w:color="000000" w:fill="FFFFFF"/>
            <w:noWrap/>
            <w:hideMark/>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14.218.187</w:t>
            </w:r>
          </w:p>
        </w:tc>
        <w:tc>
          <w:tcPr>
            <w:tcW w:w="1565" w:type="dxa"/>
            <w:tcBorders>
              <w:top w:val="nil"/>
              <w:left w:val="nil"/>
              <w:bottom w:val="single" w:color="auto" w:sz="4" w:space="0"/>
              <w:right w:val="single" w:color="auto" w:sz="4" w:space="0"/>
            </w:tcBorders>
            <w:shd w:val="clear" w:color="000000" w:fill="FFFFFF"/>
            <w:noWrap/>
            <w:hideMark/>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22.914.372</w:t>
            </w:r>
          </w:p>
        </w:tc>
        <w:tc>
          <w:tcPr>
            <w:tcW w:w="1565" w:type="dxa"/>
            <w:tcBorders>
              <w:top w:val="nil"/>
              <w:left w:val="nil"/>
              <w:bottom w:val="single" w:color="auto" w:sz="4" w:space="0"/>
              <w:right w:val="single" w:color="auto" w:sz="4" w:space="0"/>
            </w:tcBorders>
            <w:shd w:val="clear" w:color="000000" w:fill="FFFFFF"/>
            <w:noWrap/>
            <w:vAlign w:val="bottom"/>
            <w:hideMark/>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63.299.811</w:t>
            </w:r>
          </w:p>
        </w:tc>
        <w:tc>
          <w:tcPr>
            <w:tcW w:w="1565" w:type="dxa"/>
            <w:tcBorders>
              <w:top w:val="nil"/>
              <w:left w:val="nil"/>
              <w:bottom w:val="single" w:color="auto" w:sz="4" w:space="0"/>
              <w:right w:val="single" w:color="auto" w:sz="4" w:space="0"/>
            </w:tcBorders>
            <w:shd w:val="clear" w:color="000000" w:fill="FFFFFF"/>
            <w:vAlign w:val="bottom"/>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15.637.309</w:t>
            </w:r>
          </w:p>
        </w:tc>
        <w:tc>
          <w:tcPr>
            <w:tcW w:w="1565" w:type="dxa"/>
            <w:tcBorders>
              <w:top w:val="nil"/>
              <w:left w:val="nil"/>
              <w:bottom w:val="single" w:color="auto" w:sz="4" w:space="0"/>
              <w:right w:val="single" w:color="auto" w:sz="4" w:space="0"/>
            </w:tcBorders>
            <w:shd w:val="clear" w:color="000000" w:fill="FFFFFF"/>
            <w:vAlign w:val="bottom"/>
          </w:tcPr>
          <w:p w:rsidRPr="003720FE" w:rsidR="002E545A" w:rsidP="00A10FBF" w:rsidRDefault="002E545A">
            <w:pPr>
              <w:jc w:val="center"/>
              <w:rPr>
                <w:rFonts w:eastAsia="Times New Roman" w:cstheme="minorHAnsi"/>
                <w:bCs/>
                <w:color w:val="000000"/>
                <w:lang w:eastAsia="tr-TR"/>
              </w:rPr>
            </w:pPr>
            <w:r w:rsidRPr="003720FE">
              <w:rPr>
                <w:rFonts w:eastAsia="Times New Roman" w:cstheme="minorHAnsi"/>
                <w:bCs/>
                <w:color w:val="000000"/>
                <w:lang w:eastAsia="tr-TR"/>
              </w:rPr>
              <w:t>13.200.707</w:t>
            </w:r>
          </w:p>
        </w:tc>
      </w:tr>
    </w:tbl>
    <w:p w:rsidR="002E545A" w:rsidP="002E545A" w:rsidRDefault="002E545A">
      <w:pPr>
        <w:spacing w:after="0" w:line="240" w:lineRule="auto"/>
        <w:ind w:firstLine="720"/>
        <w:jc w:val="both"/>
        <w:rPr>
          <w:rFonts w:cstheme="minorHAnsi"/>
          <w:b/>
          <w:iCs/>
        </w:rPr>
      </w:pPr>
      <w:r w:rsidRPr="003720FE">
        <w:rPr>
          <w:rFonts w:cstheme="minorHAnsi"/>
          <w:b/>
          <w:iCs/>
        </w:rPr>
        <w:t>Kaynak: TİM</w:t>
      </w:r>
    </w:p>
    <w:p w:rsidRPr="003720FE" w:rsidR="002E545A" w:rsidP="002E545A" w:rsidRDefault="002E545A">
      <w:pPr>
        <w:spacing w:after="0" w:line="240" w:lineRule="auto"/>
        <w:ind w:firstLine="720"/>
        <w:jc w:val="both"/>
        <w:rPr>
          <w:rFonts w:cstheme="minorHAnsi"/>
          <w:b/>
          <w:iCs/>
        </w:rPr>
      </w:pPr>
    </w:p>
    <w:p w:rsidRPr="003720FE" w:rsidR="002E545A" w:rsidP="002E545A" w:rsidRDefault="002E545A">
      <w:pPr>
        <w:jc w:val="both"/>
        <w:rPr>
          <w:rFonts w:cstheme="minorHAnsi"/>
        </w:rPr>
      </w:pPr>
      <w:r w:rsidRPr="003720FE">
        <w:rPr>
          <w:rFonts w:cstheme="minorHAnsi"/>
        </w:rPr>
        <w:t>Gana her ne kadar son yıllarda en fazla ihracat yaptığımız Sahra Altı Afrika ülkelerinden birisi olsa da 2017 ve 2018 yıllarımda bu ülkeye yönelik otomotiv ihracatımız düşüş trendine girmiştir. Gana’ya ihracatımızda otomotiv yan sanayi ürünleri 9.7 milyon USD ile öne çıkmaktadır. Yan sanayinde bu ülkeye yönelik başlıca ihraç ürünlerimiz ise kamyon ve otobüs dış lastikleri, aküler, traktör aksam ve parçaları ile yarı römorklardır. 2018 yılında Gana’ya ayrıca 1 milyon USD’nin üzerinde Çekici ihracatı ve 1.5 milyon USD’nin üzerinde otobüs ihracatı gerçekleştirilmiştir.</w:t>
      </w:r>
    </w:p>
    <w:tbl>
      <w:tblPr>
        <w:tblW w:w="8695" w:type="dxa"/>
        <w:tblInd w:w="75" w:type="dxa"/>
        <w:tblCellMar>
          <w:left w:w="70" w:type="dxa"/>
          <w:right w:w="70" w:type="dxa"/>
        </w:tblCellMar>
        <w:tblLook w:val="04A0" w:firstRow="1" w:lastRow="0" w:firstColumn="1" w:lastColumn="0" w:noHBand="0" w:noVBand="1"/>
      </w:tblPr>
      <w:tblGrid>
        <w:gridCol w:w="5177"/>
        <w:gridCol w:w="676"/>
        <w:gridCol w:w="1051"/>
        <w:gridCol w:w="1051"/>
        <w:gridCol w:w="1077"/>
      </w:tblGrid>
      <w:tr w:rsidRPr="003720FE" w:rsidR="002E545A" w:rsidTr="00A10FBF">
        <w:trPr>
          <w:trHeight w:val="652"/>
        </w:trPr>
        <w:tc>
          <w:tcPr>
            <w:tcW w:w="5177" w:type="dxa"/>
            <w:tcBorders>
              <w:top w:val="single" w:color="auto" w:sz="4" w:space="0"/>
              <w:left w:val="single" w:color="auto" w:sz="4" w:space="0"/>
              <w:bottom w:val="single" w:color="auto" w:sz="4" w:space="0"/>
              <w:right w:val="single" w:color="auto" w:sz="4" w:space="0"/>
            </w:tcBorders>
            <w:shd w:val="clear" w:color="FFFFFF" w:fill="0B64A0"/>
            <w:noWrap/>
            <w:vAlign w:val="bottom"/>
            <w:hideMark/>
          </w:tcPr>
          <w:p w:rsidRPr="003720FE" w:rsidR="002E545A" w:rsidP="00A10FBF" w:rsidRDefault="00535A55">
            <w:pPr>
              <w:spacing w:after="0" w:line="240" w:lineRule="auto"/>
              <w:rPr>
                <w:rFonts w:eastAsia="Times New Roman" w:cstheme="minorHAnsi"/>
                <w:b/>
                <w:bCs/>
                <w:color w:val="FFFFFF"/>
                <w:lang w:eastAsia="tr-TR"/>
              </w:rPr>
            </w:pPr>
            <w:r>
              <w:rPr>
                <w:rFonts w:eastAsia="Times New Roman" w:cstheme="minorHAnsi"/>
                <w:b/>
                <w:bCs/>
                <w:color w:val="FFFFFF"/>
                <w:lang w:eastAsia="tr-TR"/>
              </w:rPr>
              <w:t>Ürün Grubu</w:t>
            </w:r>
          </w:p>
        </w:tc>
        <w:tc>
          <w:tcPr>
            <w:tcW w:w="617" w:type="dxa"/>
            <w:tcBorders>
              <w:top w:val="single" w:color="auto" w:sz="4" w:space="0"/>
              <w:left w:val="nil"/>
              <w:bottom w:val="single" w:color="auto" w:sz="4" w:space="0"/>
              <w:right w:val="single" w:color="auto" w:sz="4" w:space="0"/>
            </w:tcBorders>
            <w:shd w:val="clear" w:color="FFFFFF" w:fill="0B64A0"/>
            <w:noWrap/>
            <w:vAlign w:val="bottom"/>
            <w:hideMark/>
          </w:tcPr>
          <w:p w:rsidRPr="003720FE" w:rsidR="002E545A" w:rsidP="00A10FBF" w:rsidRDefault="002E545A">
            <w:pPr>
              <w:spacing w:after="0" w:line="240" w:lineRule="auto"/>
              <w:rPr>
                <w:rFonts w:eastAsia="Times New Roman" w:cstheme="minorHAnsi"/>
                <w:b/>
                <w:bCs/>
                <w:color w:val="FFFFFF"/>
                <w:lang w:eastAsia="tr-TR"/>
              </w:rPr>
            </w:pPr>
            <w:r w:rsidRPr="003720FE">
              <w:rPr>
                <w:rFonts w:eastAsia="Times New Roman" w:cstheme="minorHAnsi"/>
                <w:b/>
                <w:bCs/>
                <w:color w:val="FFFFFF"/>
                <w:lang w:eastAsia="tr-TR"/>
              </w:rPr>
              <w:t>Ülke</w:t>
            </w:r>
          </w:p>
        </w:tc>
        <w:tc>
          <w:tcPr>
            <w:tcW w:w="1051" w:type="dxa"/>
            <w:tcBorders>
              <w:top w:val="single" w:color="auto" w:sz="4" w:space="0"/>
              <w:left w:val="nil"/>
              <w:bottom w:val="single" w:color="auto" w:sz="4" w:space="0"/>
              <w:right w:val="single" w:color="auto" w:sz="4" w:space="0"/>
            </w:tcBorders>
            <w:shd w:val="clear" w:color="FFFFFF" w:fill="0B64A0"/>
            <w:noWrap/>
            <w:vAlign w:val="bottom"/>
            <w:hideMark/>
          </w:tcPr>
          <w:p w:rsidRPr="003720FE" w:rsidR="002E545A" w:rsidP="00A10FBF" w:rsidRDefault="002E545A">
            <w:pPr>
              <w:spacing w:after="0" w:line="240" w:lineRule="auto"/>
              <w:rPr>
                <w:rFonts w:eastAsia="Times New Roman" w:cstheme="minorHAnsi"/>
                <w:b/>
                <w:bCs/>
                <w:color w:val="FFFFFF"/>
                <w:lang w:eastAsia="tr-TR"/>
              </w:rPr>
            </w:pPr>
            <w:r w:rsidRPr="003720FE">
              <w:rPr>
                <w:rFonts w:eastAsia="Times New Roman" w:cstheme="minorHAnsi"/>
                <w:b/>
                <w:bCs/>
                <w:color w:val="FFFFFF"/>
                <w:lang w:eastAsia="tr-TR"/>
              </w:rPr>
              <w:t>2017 Ocak - Aralık</w:t>
            </w:r>
          </w:p>
        </w:tc>
        <w:tc>
          <w:tcPr>
            <w:tcW w:w="1051" w:type="dxa"/>
            <w:tcBorders>
              <w:top w:val="single" w:color="auto" w:sz="4" w:space="0"/>
              <w:left w:val="nil"/>
              <w:bottom w:val="single" w:color="auto" w:sz="4" w:space="0"/>
              <w:right w:val="single" w:color="auto" w:sz="4" w:space="0"/>
            </w:tcBorders>
            <w:shd w:val="clear" w:color="FFFFFF" w:fill="0B64A0"/>
            <w:noWrap/>
            <w:vAlign w:val="bottom"/>
            <w:hideMark/>
          </w:tcPr>
          <w:p w:rsidRPr="003720FE" w:rsidR="002E545A" w:rsidP="00A10FBF" w:rsidRDefault="002E545A">
            <w:pPr>
              <w:spacing w:after="0" w:line="240" w:lineRule="auto"/>
              <w:rPr>
                <w:rFonts w:eastAsia="Times New Roman" w:cstheme="minorHAnsi"/>
                <w:b/>
                <w:bCs/>
                <w:color w:val="FFFFFF"/>
                <w:lang w:eastAsia="tr-TR"/>
              </w:rPr>
            </w:pPr>
            <w:r w:rsidRPr="003720FE">
              <w:rPr>
                <w:rFonts w:eastAsia="Times New Roman" w:cstheme="minorHAnsi"/>
                <w:b/>
                <w:bCs/>
                <w:color w:val="FFFFFF"/>
                <w:lang w:eastAsia="tr-TR"/>
              </w:rPr>
              <w:t>2018 Ocak - Aralık</w:t>
            </w:r>
          </w:p>
        </w:tc>
        <w:tc>
          <w:tcPr>
            <w:tcW w:w="799" w:type="dxa"/>
            <w:tcBorders>
              <w:top w:val="single" w:color="auto" w:sz="4" w:space="0"/>
              <w:left w:val="nil"/>
              <w:bottom w:val="single" w:color="auto" w:sz="4" w:space="0"/>
              <w:right w:val="single" w:color="auto" w:sz="4" w:space="0"/>
            </w:tcBorders>
            <w:shd w:val="clear" w:color="FFFFFF" w:fill="0B64A0"/>
            <w:noWrap/>
            <w:vAlign w:val="bottom"/>
            <w:hideMark/>
          </w:tcPr>
          <w:p w:rsidRPr="003720FE" w:rsidR="002E545A" w:rsidP="00A10FBF" w:rsidRDefault="002E545A">
            <w:pPr>
              <w:spacing w:after="0" w:line="240" w:lineRule="auto"/>
              <w:rPr>
                <w:rFonts w:eastAsia="Times New Roman" w:cstheme="minorHAnsi"/>
                <w:b/>
                <w:bCs/>
                <w:color w:val="FFFFFF"/>
                <w:lang w:eastAsia="tr-TR"/>
              </w:rPr>
            </w:pPr>
            <w:r w:rsidRPr="003720FE">
              <w:rPr>
                <w:rFonts w:eastAsia="Times New Roman" w:cstheme="minorHAnsi"/>
                <w:b/>
                <w:bCs/>
                <w:color w:val="FFFFFF"/>
                <w:lang w:eastAsia="tr-TR"/>
              </w:rPr>
              <w:t>Değişim FOBD%</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DİĞER TAŞIT ARAÇLARI İKİ TEKERLEKLİ TAŞITLAR (BİSİKLET. MOPET. MOTOSİKLET)</w:t>
            </w:r>
          </w:p>
        </w:tc>
        <w:tc>
          <w:tcPr>
            <w:tcW w:w="617"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7.481</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2.125</w:t>
            </w:r>
          </w:p>
        </w:tc>
        <w:tc>
          <w:tcPr>
            <w:tcW w:w="799"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-71,60%</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MİNERAL YAKITLAR. MİNERAL YAĞLAR VE ÜRÜNL</w:t>
            </w:r>
          </w:p>
        </w:tc>
        <w:tc>
          <w:tcPr>
            <w:tcW w:w="617"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7.986</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1.210</w:t>
            </w:r>
          </w:p>
        </w:tc>
        <w:tc>
          <w:tcPr>
            <w:tcW w:w="799"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-84,85%</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OTOMOTİV ANA SANAYİİ BİNEK OTOMOBİLLER</w:t>
            </w:r>
          </w:p>
        </w:tc>
        <w:tc>
          <w:tcPr>
            <w:tcW w:w="617"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574.906</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348.011</w:t>
            </w:r>
          </w:p>
        </w:tc>
        <w:tc>
          <w:tcPr>
            <w:tcW w:w="799"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-39,47%</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OTOMOTİV ANA SANAYİİ ÇEKİCİLER</w:t>
            </w:r>
          </w:p>
        </w:tc>
        <w:tc>
          <w:tcPr>
            <w:tcW w:w="617"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694.239</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1.069.551</w:t>
            </w:r>
          </w:p>
        </w:tc>
        <w:tc>
          <w:tcPr>
            <w:tcW w:w="799"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54,06%</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OTOMOTİV ANA SANAYİİ EŞYA TAŞIMAYA MAHSUS MOTORLU TAŞITLAR</w:t>
            </w:r>
          </w:p>
        </w:tc>
        <w:tc>
          <w:tcPr>
            <w:tcW w:w="617"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3.537.295</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265.873</w:t>
            </w:r>
          </w:p>
        </w:tc>
        <w:tc>
          <w:tcPr>
            <w:tcW w:w="799"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-92,48%</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OTOMOTİV ANA SANAYİİ OTOBÜS. İNİBÜS.MİDİBÜS</w:t>
            </w:r>
          </w:p>
        </w:tc>
        <w:tc>
          <w:tcPr>
            <w:tcW w:w="617"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18.104</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1.541.784</w:t>
            </w:r>
          </w:p>
        </w:tc>
        <w:tc>
          <w:tcPr>
            <w:tcW w:w="799"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8.416,39%</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OTOMOTİV ANA SANAYİİ ÖZEL AMAÇLI MOTORLU TAŞITLAR</w:t>
            </w:r>
          </w:p>
        </w:tc>
        <w:tc>
          <w:tcPr>
            <w:tcW w:w="617"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885.989</w:t>
            </w:r>
          </w:p>
        </w:tc>
        <w:tc>
          <w:tcPr>
            <w:tcW w:w="1051"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247.382</w:t>
            </w:r>
          </w:p>
        </w:tc>
        <w:tc>
          <w:tcPr>
            <w:tcW w:w="799" w:type="dxa"/>
            <w:tcBorders>
              <w:top w:val="single" w:color="auto" w:sz="4" w:space="0"/>
              <w:left w:val="nil"/>
              <w:bottom w:val="single" w:color="auto" w:sz="4" w:space="0"/>
              <w:right w:val="single" w:color="auto" w:sz="4" w:space="0"/>
            </w:tcBorders>
            <w:shd w:val="clear" w:color="FFFFFF" w:fill="F8FBFC"/>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-72,08%</w:t>
            </w:r>
          </w:p>
        </w:tc>
      </w:tr>
      <w:tr w:rsidRPr="003720FE" w:rsidR="002E545A" w:rsidTr="00A10FBF">
        <w:trPr>
          <w:trHeight w:val="535"/>
        </w:trPr>
        <w:tc>
          <w:tcPr>
            <w:tcW w:w="5177" w:type="dxa"/>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OTOMOTİV SANAYİ OTOMOTİV YAN SANAYİİ</w:t>
            </w:r>
          </w:p>
        </w:tc>
        <w:tc>
          <w:tcPr>
            <w:tcW w:w="617"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rPr>
                <w:rFonts w:eastAsia="Times New Roman" w:cstheme="minorHAnsi"/>
                <w:lang w:eastAsia="tr-TR"/>
              </w:rPr>
            </w:pPr>
            <w:r w:rsidRPr="003720FE">
              <w:rPr>
                <w:rFonts w:eastAsia="Times New Roman" w:cstheme="minorHAnsi"/>
                <w:lang w:eastAsia="tr-TR"/>
              </w:rPr>
              <w:t>GANA</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9.911.308</w:t>
            </w:r>
          </w:p>
        </w:tc>
        <w:tc>
          <w:tcPr>
            <w:tcW w:w="1051"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9.724.773</w:t>
            </w:r>
          </w:p>
        </w:tc>
        <w:tc>
          <w:tcPr>
            <w:tcW w:w="799" w:type="dxa"/>
            <w:tcBorders>
              <w:top w:val="single" w:color="auto" w:sz="4" w:space="0"/>
              <w:left w:val="nil"/>
              <w:bottom w:val="single" w:color="auto" w:sz="4" w:space="0"/>
              <w:right w:val="single" w:color="auto" w:sz="4" w:space="0"/>
            </w:tcBorders>
            <w:shd w:val="clear" w:color="FFFFFF" w:fill="FFFFFF"/>
            <w:noWrap/>
            <w:vAlign w:val="bottom"/>
            <w:hideMark/>
          </w:tcPr>
          <w:p w:rsidRPr="003720FE" w:rsidR="002E545A" w:rsidP="00A10FBF" w:rsidRDefault="002E545A">
            <w:pPr>
              <w:spacing w:after="0" w:line="240" w:lineRule="auto"/>
              <w:jc w:val="right"/>
              <w:rPr>
                <w:rFonts w:eastAsia="Times New Roman" w:cstheme="minorHAnsi"/>
                <w:lang w:eastAsia="tr-TR"/>
              </w:rPr>
            </w:pPr>
            <w:r w:rsidRPr="003720FE">
              <w:rPr>
                <w:rFonts w:eastAsia="Times New Roman" w:cstheme="minorHAnsi"/>
                <w:lang w:eastAsia="tr-TR"/>
              </w:rPr>
              <w:t>-1,88%</w:t>
            </w:r>
          </w:p>
        </w:tc>
      </w:tr>
    </w:tbl>
    <w:p w:rsidRPr="003720FE" w:rsidR="002E545A" w:rsidP="002E545A" w:rsidRDefault="002E545A">
      <w:pPr>
        <w:jc w:val="both"/>
        <w:rPr>
          <w:rFonts w:cstheme="minorHAnsi"/>
        </w:rPr>
      </w:pPr>
      <w:r w:rsidRPr="003720FE">
        <w:rPr>
          <w:rFonts w:cstheme="minorHAnsi"/>
        </w:rPr>
        <w:t>Sonuç olarak Gana Afrika kıtasındaki önemli ekonomilerden birisi konumundadır. Buna karşılık ülke otomotiv sektörü açısından halen küçük bir pazardır. Ülkenin otomotiv ithalatında ABD, Kore Cumhuriyeti ve Çin’in ağırlığı bulunmaktadır. Gana ile Türkiye arasında Serbest Ticaret Anlaşması imzalanması yolundaki müzakereler tamamlanmış olup, Anlaşma’nın yakın bir zamanda imzalanması hedeflenmektedir. Diğer taraftan Gana otomotiv yan sanayi ürünleri ithalatına gümrük vergisi uygulamamaktadır. Gana’ya yönelik otomotiv ihracatımız 2019 Ocak-Nisan döneminde %100 artmıştır. Gana’ya yönelik otomotiv ihracatının 2019 yılında tekrar 20 milyon USD’yi aşması beklenebilir.</w:t>
      </w:r>
    </w:p>
    <w:p w:rsidRPr="002E545A" w:rsidR="00CB1E1D" w:rsidP="00CB1E1D" w:rsidRDefault="00CB1E1D">
      <w:pPr>
        <w:spacing w:after="100" w:afterAutospacing="1" w:line="240" w:lineRule="auto"/>
        <w:jc w:val="both"/>
        <w:outlineLvl w:val="1"/>
        <w:rPr>
          <w:rFonts w:eastAsia="Times New Roman" w:cs="Times New Roman"/>
          <w:b/>
          <w:bCs/>
          <w:color w:val="0F243E"/>
          <w:sz w:val="28"/>
          <w:szCs w:val="28"/>
          <w:lang w:eastAsia="tr-TR"/>
        </w:rPr>
      </w:pPr>
      <w:r w:rsidRPr="002E545A">
        <w:rPr>
          <w:rFonts w:eastAsia="Times New Roman" w:cs="Times New Roman"/>
          <w:b/>
          <w:bCs/>
          <w:color w:val="0F243E"/>
          <w:sz w:val="28"/>
          <w:szCs w:val="28"/>
          <w:lang w:eastAsia="tr-TR"/>
        </w:rPr>
        <w:t>İŞADAMLARININ PAZARDA DİKKAT ETMESİ GEREKEN HUSUSLAR</w:t>
      </w:r>
    </w:p>
    <w:p w:rsidRPr="003720FE" w:rsidR="00CB1E1D" w:rsidP="00CB1E1D" w:rsidRDefault="00CB1E1D">
      <w:pPr>
        <w:spacing w:after="100" w:afterAutospacing="1" w:line="240" w:lineRule="auto"/>
        <w:jc w:val="both"/>
        <w:outlineLvl w:val="3"/>
        <w:rPr>
          <w:rFonts w:eastAsia="Times New Roman" w:cstheme="minorHAnsi"/>
          <w:b/>
          <w:color w:val="212529"/>
          <w:lang w:eastAsia="tr-TR"/>
        </w:rPr>
      </w:pPr>
      <w:r w:rsidRPr="003720FE">
        <w:rPr>
          <w:rFonts w:eastAsia="Times New Roman" w:cstheme="minorHAnsi"/>
          <w:b/>
          <w:color w:val="212529"/>
          <w:lang w:eastAsia="tr-TR"/>
        </w:rPr>
        <w:t>Ticareti Etkileyen Kültürel Faktörler</w:t>
      </w:r>
    </w:p>
    <w:p w:rsidRPr="003720FE" w:rsidR="00CB1E1D" w:rsidP="00CB1E1D" w:rsidRDefault="00CB1E1D">
      <w:pPr>
        <w:spacing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Gana’nın resmi dili İngilizcedir. İş yazışmalarında İngilizce kullanılmaktadır. Şehirde yaşayan Ganalılar da İngilizce konuşmaktadırlar. Ülkede kartvizit kullanımı yaygındır. Ganalı işadamları iş saatlerinde takım elbise giymekte, çok azı geleneksel kıyafetlerini giymektedirler. İş kadınları ise genel olarak iş saatlerinde de geleneksel kıyafetlidirler</w:t>
      </w:r>
    </w:p>
    <w:p w:rsidR="00535A55" w:rsidP="00CB1E1D" w:rsidRDefault="00CB1E1D">
      <w:pPr>
        <w:spacing w:after="100" w:afterAutospacing="1" w:line="240" w:lineRule="auto"/>
        <w:jc w:val="both"/>
        <w:outlineLvl w:val="3"/>
        <w:rPr>
          <w:rFonts w:eastAsia="Times New Roman" w:cstheme="minorHAnsi"/>
          <w:b/>
          <w:color w:val="212529"/>
          <w:lang w:eastAsia="tr-TR"/>
        </w:rPr>
      </w:pPr>
      <w:r w:rsidRPr="003720FE">
        <w:rPr>
          <w:rFonts w:eastAsia="Times New Roman" w:cstheme="minorHAnsi"/>
          <w:b/>
          <w:color w:val="212529"/>
          <w:lang w:eastAsia="tr-TR"/>
        </w:rPr>
        <w:t> </w:t>
      </w:r>
    </w:p>
    <w:p w:rsidRPr="003720FE" w:rsidR="00CB1E1D" w:rsidP="00CB1E1D" w:rsidRDefault="00CB1E1D">
      <w:pPr>
        <w:spacing w:after="100" w:afterAutospacing="1" w:line="240" w:lineRule="auto"/>
        <w:jc w:val="both"/>
        <w:outlineLvl w:val="3"/>
        <w:rPr>
          <w:rFonts w:eastAsia="Times New Roman" w:cstheme="minorHAnsi"/>
          <w:b/>
          <w:color w:val="212529"/>
          <w:lang w:eastAsia="tr-TR"/>
        </w:rPr>
      </w:pPr>
      <w:r w:rsidRPr="003720FE">
        <w:rPr>
          <w:rFonts w:eastAsia="Times New Roman" w:cstheme="minorHAnsi"/>
          <w:b/>
          <w:color w:val="212529"/>
          <w:lang w:eastAsia="tr-TR"/>
        </w:rPr>
        <w:lastRenderedPageBreak/>
        <w:t>Pasaport ve Vize İşlemleri</w:t>
      </w:r>
    </w:p>
    <w:p w:rsidRPr="003720FE" w:rsidR="00CB1E1D" w:rsidP="00CB1E1D" w:rsidRDefault="00CB1E1D">
      <w:pPr>
        <w:spacing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Diplomatik, Hizmet, Hususi ve Umuma Mahsus Pasaport Hamilleri vizeye tabidir.</w:t>
      </w:r>
    </w:p>
    <w:p w:rsidRPr="003720FE" w:rsidR="00CB1E1D" w:rsidP="00CB1E1D" w:rsidRDefault="00CB1E1D">
      <w:pPr>
        <w:spacing w:after="100" w:afterAutospacing="1" w:line="240" w:lineRule="auto"/>
        <w:jc w:val="both"/>
        <w:outlineLvl w:val="3"/>
        <w:rPr>
          <w:rFonts w:eastAsia="Times New Roman" w:cstheme="minorHAnsi"/>
          <w:b/>
          <w:lang w:eastAsia="tr-TR"/>
        </w:rPr>
      </w:pPr>
      <w:r w:rsidRPr="003720FE">
        <w:rPr>
          <w:rFonts w:eastAsia="Times New Roman" w:cstheme="minorHAnsi"/>
          <w:b/>
          <w:lang w:eastAsia="tr-TR"/>
        </w:rPr>
        <w:t>Resmi Tatiller ve Çalışma Saatleri</w:t>
      </w:r>
    </w:p>
    <w:tbl>
      <w:tblPr>
        <w:tblW w:w="0" w:type="auto"/>
        <w:tblCellMar>
          <w:top w:w="15" w:type="dxa"/>
          <w:left w:w="15" w:type="dxa"/>
          <w:bottom w:w="15" w:type="dxa"/>
          <w:right w:w="15" w:type="dxa"/>
        </w:tblCellMar>
        <w:tblLook w:val="04A0" w:firstRow="1" w:lastRow="0" w:firstColumn="1" w:lastColumn="0" w:noHBand="0" w:noVBand="1"/>
      </w:tblPr>
      <w:tblGrid>
        <w:gridCol w:w="1644"/>
        <w:gridCol w:w="962"/>
      </w:tblGrid>
      <w:tr w:rsidRPr="003720FE" w:rsidR="00CB1E1D" w:rsidTr="00CB1E1D">
        <w:tc>
          <w:tcPr>
            <w:tcW w:w="0" w:type="auto"/>
            <w:gridSpan w:val="2"/>
            <w:tcBorders>
              <w:top w:val="nil"/>
              <w:left w:val="nil"/>
              <w:bottom w:val="nil"/>
              <w:right w:val="nil"/>
            </w:tcBorders>
            <w:vAlign w:val="center"/>
            <w:hideMark/>
          </w:tcPr>
          <w:p w:rsidRPr="003720FE" w:rsidR="00CB1E1D" w:rsidP="00CB1E1D" w:rsidRDefault="00CB1E1D">
            <w:pPr>
              <w:spacing w:after="0" w:line="240" w:lineRule="auto"/>
              <w:rPr>
                <w:rFonts w:eastAsia="Times New Roman" w:cstheme="minorHAnsi"/>
                <w:b/>
                <w:lang w:eastAsia="tr-TR"/>
              </w:rPr>
            </w:pPr>
            <w:r w:rsidRPr="003720FE">
              <w:rPr>
                <w:rFonts w:eastAsia="Times New Roman" w:cstheme="minorHAnsi"/>
                <w:b/>
                <w:lang w:eastAsia="tr-TR"/>
              </w:rPr>
              <w:t>Resmi tatiller</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Yeni Yıl</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1 Ocak</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Bağımsızlık Günü</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6 Mart</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Good Friday</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25 Mart</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Paskalya Yortusu</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28 Mart</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İşçi Günü</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1 Mayıs</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Afrika Birliği Günü</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25 Mayıs</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Republic Day</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1 Temmuz</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Eid al-Fitr</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3 Kasım</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Çiftçiler Günü</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2 Aralık</w:t>
            </w:r>
          </w:p>
        </w:tc>
      </w:tr>
      <w:tr w:rsidRPr="003720FE" w:rsidR="00CB1E1D" w:rsidTr="00CB1E1D">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Boxing Day</w:t>
            </w:r>
          </w:p>
        </w:tc>
        <w:tc>
          <w:tcPr>
            <w:tcW w:w="0" w:type="auto"/>
            <w:vAlign w:val="center"/>
            <w:hideMark/>
          </w:tcPr>
          <w:p w:rsidRPr="003720FE" w:rsidR="00CB1E1D" w:rsidP="00CB1E1D" w:rsidRDefault="00CB1E1D">
            <w:pPr>
              <w:spacing w:after="0" w:line="240" w:lineRule="auto"/>
              <w:rPr>
                <w:rFonts w:eastAsia="Times New Roman" w:cstheme="minorHAnsi"/>
                <w:lang w:eastAsia="tr-TR"/>
              </w:rPr>
            </w:pPr>
            <w:r w:rsidRPr="003720FE">
              <w:rPr>
                <w:rFonts w:eastAsia="Times New Roman" w:cstheme="minorHAnsi"/>
                <w:lang w:eastAsia="tr-TR"/>
              </w:rPr>
              <w:t>26 Aralık</w:t>
            </w:r>
          </w:p>
        </w:tc>
      </w:tr>
    </w:tbl>
    <w:p w:rsidRPr="003720FE" w:rsidR="00CB1E1D" w:rsidP="00CB1E1D" w:rsidRDefault="00CB1E1D">
      <w:pPr>
        <w:spacing w:after="0" w:line="240" w:lineRule="auto"/>
        <w:jc w:val="both"/>
        <w:rPr>
          <w:rFonts w:eastAsia="Times New Roman" w:cstheme="minorHAnsi"/>
          <w:color w:val="212529"/>
          <w:lang w:eastAsia="tr-TR"/>
        </w:rPr>
      </w:pPr>
      <w:r w:rsidRPr="003720FE">
        <w:rPr>
          <w:rFonts w:eastAsia="Times New Roman" w:cstheme="minorHAnsi"/>
          <w:color w:val="212529"/>
          <w:lang w:eastAsia="tr-TR"/>
        </w:rPr>
        <w:t> </w:t>
      </w:r>
    </w:p>
    <w:p w:rsidRPr="003720FE" w:rsidR="00CB1E1D" w:rsidP="00CB1E1D" w:rsidRDefault="00CB1E1D">
      <w:pPr>
        <w:spacing w:after="100" w:afterAutospacing="1" w:line="240" w:lineRule="auto"/>
        <w:jc w:val="both"/>
        <w:outlineLvl w:val="3"/>
        <w:rPr>
          <w:rFonts w:eastAsia="Times New Roman" w:cstheme="minorHAnsi"/>
          <w:b/>
          <w:color w:val="212529"/>
          <w:lang w:eastAsia="tr-TR"/>
        </w:rPr>
      </w:pPr>
      <w:r w:rsidRPr="003720FE">
        <w:rPr>
          <w:rFonts w:eastAsia="Times New Roman" w:cstheme="minorHAnsi"/>
          <w:b/>
          <w:color w:val="212529"/>
          <w:lang w:eastAsia="tr-TR"/>
        </w:rPr>
        <w:t>Sağlık</w:t>
      </w:r>
    </w:p>
    <w:p w:rsidRPr="003720FE" w:rsidR="00CB1E1D" w:rsidP="00CB1E1D" w:rsidRDefault="00CB1E1D">
      <w:pPr>
        <w:spacing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Gana’ya girmek için uluslararası sağlık sertifikasında sarı humma aşısının olduğunun belgelemesi gerekmektedir. Sıtma aşısı ile tetanos, menenjit, ve hepatit B aşılarının yaptırılması ise önemle tavsiye edilmektedir.. Ayrıca, daha ayrıntılı bilgi için http://www.cdc.gov/travel/wafrica.htm. web adresinin incelenmesinin yararlı olacağı düşünülmektedir. Sözkonusu aşıların Gana’ya giriş yapılmadan en az on gün önceden yaptırılması gerekmektedir.</w:t>
      </w:r>
    </w:p>
    <w:p w:rsidRPr="003720FE" w:rsidR="00CB1E1D" w:rsidP="00CB1E1D" w:rsidRDefault="00CB1E1D">
      <w:pPr>
        <w:spacing w:after="100" w:afterAutospacing="1" w:line="240" w:lineRule="auto"/>
        <w:jc w:val="both"/>
        <w:outlineLvl w:val="3"/>
        <w:rPr>
          <w:rFonts w:eastAsia="Times New Roman" w:cstheme="minorHAnsi"/>
          <w:b/>
          <w:color w:val="212529"/>
          <w:lang w:eastAsia="tr-TR"/>
        </w:rPr>
      </w:pPr>
      <w:r w:rsidRPr="003720FE">
        <w:rPr>
          <w:rFonts w:eastAsia="Times New Roman" w:cstheme="minorHAnsi"/>
          <w:b/>
          <w:color w:val="212529"/>
          <w:lang w:eastAsia="tr-TR"/>
        </w:rPr>
        <w:t>Hukuki Yapı</w:t>
      </w:r>
    </w:p>
    <w:p w:rsidR="00C8699D" w:rsidP="00CB1E1D" w:rsidRDefault="00CB1E1D">
      <w:pPr>
        <w:spacing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Gana’da firmaların ticari veya yatırım işine girişmelerinde herhangi bir yere para bloke etme zorunluluğu bulunmamaktadır. Bu yüzden özellikle bu ülkeye ihracatta firmaların özellikle ilk ihracat deneyimlerinde, ödemelerin garantisi için, deneyimli ve geçmişi bulunan firmalarla iş yapmaları önerilmektedir.</w:t>
      </w:r>
      <w:r w:rsidRPr="003720FE">
        <w:rPr>
          <w:rFonts w:eastAsia="Times New Roman" w:cstheme="minorHAnsi"/>
          <w:color w:val="212529"/>
          <w:lang w:eastAsia="tr-TR"/>
        </w:rPr>
        <w:br/>
        <w:t> </w:t>
      </w:r>
    </w:p>
    <w:p w:rsidRPr="003720FE" w:rsidR="00CB1E1D" w:rsidP="00CB1E1D" w:rsidRDefault="00CB1E1D">
      <w:pPr>
        <w:spacing w:after="100" w:afterAutospacing="1" w:line="240" w:lineRule="auto"/>
        <w:jc w:val="both"/>
        <w:rPr>
          <w:rFonts w:eastAsia="Times New Roman" w:cstheme="minorHAnsi"/>
          <w:b/>
          <w:color w:val="212529"/>
          <w:lang w:eastAsia="tr-TR"/>
        </w:rPr>
      </w:pPr>
      <w:r w:rsidRPr="003720FE">
        <w:rPr>
          <w:rFonts w:eastAsia="Times New Roman" w:cstheme="minorHAnsi"/>
          <w:b/>
          <w:color w:val="212529"/>
          <w:lang w:eastAsia="tr-TR"/>
        </w:rPr>
        <w:t>Gana’da İş Kurma</w:t>
      </w:r>
    </w:p>
    <w:p w:rsidRPr="003720FE" w:rsidR="00CB1E1D" w:rsidP="00CB1E1D" w:rsidRDefault="00CB1E1D">
      <w:pPr>
        <w:spacing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Gana Yatırım Geliştirme Merkezi (GIPC) yatırımlarda ve iş kurulmasında sorumlu tek yetkili kamu kuruluşudur. Yabancı firmalar ekonomik, ticari ve yatırımla ilgili her türlü konuda bu kuruluştan bilgi temin edebilirler (www.gipc.org.gh).</w:t>
      </w:r>
    </w:p>
    <w:p w:rsidR="002E545A" w:rsidP="00CB1E1D" w:rsidRDefault="00CB1E1D">
      <w:pPr>
        <w:spacing w:after="100" w:afterAutospacing="1" w:line="240" w:lineRule="auto"/>
        <w:jc w:val="both"/>
        <w:rPr>
          <w:rFonts w:eastAsia="Times New Roman" w:cstheme="minorHAnsi"/>
          <w:color w:val="212529"/>
          <w:lang w:eastAsia="tr-TR"/>
        </w:rPr>
      </w:pPr>
      <w:r w:rsidRPr="003720FE">
        <w:rPr>
          <w:rFonts w:eastAsia="Times New Roman" w:cstheme="minorHAnsi"/>
          <w:color w:val="212529"/>
          <w:lang w:eastAsia="tr-TR"/>
        </w:rPr>
        <w:t>Yabancı firmaların Gana’da iş kurmaları serbest olup, GIPC’den uygunluk ön izni alınmadan iş kurabilmektedirler. Gana’da iş kuracak olan firmalarımız iş kurma konusundaki aşamalar ve yükümlülükler konusunda GIPC’nin web sitesinde detaylı bilgilere ulaşabilirler.</w:t>
      </w:r>
    </w:p>
    <w:p w:rsidR="002E545A" w:rsidP="002E545A" w:rsidRDefault="002E545A">
      <w:pPr>
        <w:spacing w:after="160" w:line="259" w:lineRule="auto"/>
        <w:rPr>
          <w:b/>
          <w:sz w:val="40"/>
        </w:rPr>
      </w:pPr>
    </w:p>
    <w:p w:rsidRPr="00E428E7" w:rsidR="002E545A" w:rsidP="002E545A" w:rsidRDefault="002E545A">
      <w:pPr>
        <w:spacing w:after="160" w:line="259" w:lineRule="auto"/>
        <w:rPr>
          <w:b/>
          <w:sz w:val="40"/>
        </w:rPr>
      </w:pPr>
      <w:r w:rsidRPr="00E428E7">
        <w:rPr>
          <w:b/>
          <w:sz w:val="40"/>
        </w:rPr>
        <w:lastRenderedPageBreak/>
        <w:t>KAYNAKLAR</w:t>
      </w:r>
    </w:p>
    <w:p w:rsidR="002E545A" w:rsidP="002E545A" w:rsidRDefault="002E545A">
      <w:pPr>
        <w:numPr>
          <w:ilvl w:val="0"/>
          <w:numId w:val="1"/>
        </w:numPr>
        <w:spacing w:after="160" w:line="259" w:lineRule="auto"/>
        <w:contextualSpacing/>
        <w:jc w:val="both"/>
        <w:rPr>
          <w:sz w:val="24"/>
        </w:rPr>
      </w:pPr>
      <w:r>
        <w:rPr>
          <w:sz w:val="24"/>
        </w:rPr>
        <w:t xml:space="preserve">OICA </w:t>
      </w:r>
      <w:hyperlink w:history="1" r:id="rId9">
        <w:r w:rsidRPr="00630BC0">
          <w:rPr>
            <w:rStyle w:val="Kpr"/>
            <w:sz w:val="24"/>
          </w:rPr>
          <w:t>www.oica.net</w:t>
        </w:r>
      </w:hyperlink>
    </w:p>
    <w:p w:rsidRPr="00E428E7" w:rsidR="002E545A" w:rsidP="002E545A" w:rsidRDefault="002E545A">
      <w:pPr>
        <w:numPr>
          <w:ilvl w:val="0"/>
          <w:numId w:val="1"/>
        </w:numPr>
        <w:spacing w:after="160" w:line="259" w:lineRule="auto"/>
        <w:contextualSpacing/>
        <w:jc w:val="both"/>
        <w:rPr>
          <w:sz w:val="24"/>
        </w:rPr>
      </w:pPr>
      <w:r w:rsidRPr="00E428E7">
        <w:rPr>
          <w:sz w:val="24"/>
        </w:rPr>
        <w:t xml:space="preserve">Ticaret Bakanlığı </w:t>
      </w:r>
      <w:hyperlink w:history="1" r:id="rId10">
        <w:r w:rsidRPr="00E428E7">
          <w:rPr>
            <w:color w:val="0000FF" w:themeColor="hyperlink"/>
            <w:sz w:val="24"/>
            <w:u w:val="single"/>
          </w:rPr>
          <w:t>www.ticaret.gov.tr</w:t>
        </w:r>
      </w:hyperlink>
    </w:p>
    <w:p w:rsidRPr="00E428E7" w:rsidR="002E545A" w:rsidP="002E545A" w:rsidRDefault="002E545A">
      <w:pPr>
        <w:numPr>
          <w:ilvl w:val="0"/>
          <w:numId w:val="1"/>
        </w:numPr>
        <w:spacing w:after="160" w:line="259" w:lineRule="auto"/>
        <w:contextualSpacing/>
        <w:jc w:val="both"/>
        <w:rPr>
          <w:sz w:val="24"/>
        </w:rPr>
      </w:pPr>
      <w:r w:rsidRPr="00E428E7">
        <w:rPr>
          <w:sz w:val="24"/>
        </w:rPr>
        <w:t xml:space="preserve">Trademap  </w:t>
      </w:r>
      <w:hyperlink w:history="1" r:id="rId11">
        <w:r w:rsidRPr="00E428E7">
          <w:rPr>
            <w:color w:val="0000FF" w:themeColor="hyperlink"/>
            <w:sz w:val="24"/>
            <w:u w:val="single"/>
          </w:rPr>
          <w:t>www.trademap.org</w:t>
        </w:r>
      </w:hyperlink>
    </w:p>
    <w:p w:rsidRPr="00E428E7" w:rsidR="002E545A" w:rsidP="002E545A" w:rsidRDefault="002E545A">
      <w:pPr>
        <w:numPr>
          <w:ilvl w:val="0"/>
          <w:numId w:val="1"/>
        </w:numPr>
        <w:spacing w:after="160" w:line="259" w:lineRule="auto"/>
        <w:contextualSpacing/>
        <w:jc w:val="both"/>
        <w:rPr>
          <w:sz w:val="24"/>
        </w:rPr>
      </w:pPr>
      <w:r w:rsidRPr="00E428E7">
        <w:rPr>
          <w:sz w:val="24"/>
        </w:rPr>
        <w:t>TUİK</w:t>
      </w:r>
      <w:r>
        <w:rPr>
          <w:sz w:val="24"/>
          <w:u w:val="single"/>
        </w:rPr>
        <w:t xml:space="preserve"> </w:t>
      </w:r>
      <w:hyperlink w:history="1" r:id="rId12">
        <w:r w:rsidRPr="00630BC0">
          <w:rPr>
            <w:rStyle w:val="Kpr"/>
            <w:sz w:val="24"/>
          </w:rPr>
          <w:t>www.tuik.gov.tr</w:t>
        </w:r>
      </w:hyperlink>
    </w:p>
    <w:p w:rsidR="002E545A" w:rsidP="002E545A" w:rsidRDefault="002E545A">
      <w:pPr>
        <w:numPr>
          <w:ilvl w:val="0"/>
          <w:numId w:val="1"/>
        </w:numPr>
        <w:spacing w:after="160" w:line="259" w:lineRule="auto"/>
        <w:contextualSpacing/>
        <w:jc w:val="both"/>
        <w:rPr>
          <w:sz w:val="24"/>
        </w:rPr>
      </w:pPr>
      <w:r w:rsidRPr="00E428E7">
        <w:rPr>
          <w:sz w:val="24"/>
        </w:rPr>
        <w:t xml:space="preserve">Türkiye İhracatçılar Meclisi </w:t>
      </w:r>
      <w:hyperlink w:history="1" r:id="rId13">
        <w:r w:rsidRPr="00E428E7">
          <w:rPr>
            <w:color w:val="0000FF" w:themeColor="hyperlink"/>
            <w:sz w:val="24"/>
            <w:u w:val="single"/>
          </w:rPr>
          <w:t>http://www.tim.org.tr/tr/</w:t>
        </w:r>
      </w:hyperlink>
      <w:r w:rsidRPr="00E428E7">
        <w:rPr>
          <w:sz w:val="24"/>
        </w:rPr>
        <w:t xml:space="preserve"> </w:t>
      </w:r>
    </w:p>
    <w:p w:rsidRPr="00E428E7" w:rsidR="002E545A" w:rsidP="002E545A" w:rsidRDefault="002E545A">
      <w:pPr>
        <w:numPr>
          <w:ilvl w:val="0"/>
          <w:numId w:val="1"/>
        </w:numPr>
        <w:spacing w:after="160" w:line="259" w:lineRule="auto"/>
        <w:contextualSpacing/>
        <w:jc w:val="both"/>
        <w:rPr>
          <w:sz w:val="24"/>
        </w:rPr>
      </w:pPr>
      <w:r w:rsidRPr="00E428E7">
        <w:rPr>
          <w:sz w:val="24"/>
        </w:rPr>
        <w:t xml:space="preserve">Uludağ İhracatçı Birlikleri </w:t>
      </w:r>
      <w:hyperlink w:history="1" r:id="rId14">
        <w:r w:rsidRPr="00E428E7">
          <w:rPr>
            <w:color w:val="0000FF" w:themeColor="hyperlink"/>
            <w:sz w:val="24"/>
            <w:u w:val="single"/>
          </w:rPr>
          <w:t>http://www.uib.org.tr/tr/</w:t>
        </w:r>
      </w:hyperlink>
      <w:r w:rsidRPr="00E428E7">
        <w:rPr>
          <w:sz w:val="24"/>
        </w:rPr>
        <w:t xml:space="preserve"> </w:t>
      </w:r>
    </w:p>
    <w:p w:rsidR="002E545A" w:rsidP="002E545A" w:rsidRDefault="002E545A">
      <w:pPr>
        <w:spacing w:after="160" w:line="259" w:lineRule="auto"/>
        <w:contextualSpacing/>
        <w:jc w:val="both"/>
        <w:rPr>
          <w:sz w:val="24"/>
        </w:rPr>
      </w:pPr>
    </w:p>
    <w:p w:rsidRPr="00973CC4" w:rsidR="002E545A" w:rsidP="002E545A" w:rsidRDefault="002E545A">
      <w:pPr>
        <w:spacing w:after="160" w:line="259" w:lineRule="auto"/>
        <w:jc w:val="both"/>
        <w:rPr>
          <w:rFonts w:eastAsia="Calibri" w:cstheme="minorHAnsi"/>
          <w:sz w:val="24"/>
          <w:szCs w:val="24"/>
        </w:rPr>
      </w:pPr>
      <w:r w:rsidRPr="00E428E7">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p w:rsidRPr="002E545A" w:rsidR="00CB1E1D" w:rsidP="002E545A" w:rsidRDefault="00CB1E1D">
      <w:pPr>
        <w:rPr>
          <w:rFonts w:eastAsia="Times New Roman" w:cstheme="minorHAnsi"/>
          <w:lang w:eastAsia="tr-TR"/>
        </w:rPr>
      </w:pPr>
    </w:p>
    <w:sectPr w:rsidRPr="002E545A" w:rsidR="00CB1E1D" w:rsidSect="00F24C3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85" w:rsidRDefault="00FB7485" w:rsidP="001215AD">
      <w:pPr>
        <w:spacing w:after="0" w:line="240" w:lineRule="auto"/>
      </w:pPr>
      <w:r>
        <w:separator/>
      </w:r>
    </w:p>
  </w:endnote>
  <w:endnote w:type="continuationSeparator" w:id="0">
    <w:p w:rsidR="00FB7485" w:rsidRDefault="00FB7485" w:rsidP="0012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B" w:rsidRDefault="00E824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71309"/>
      <w:docPartObj>
        <w:docPartGallery w:val="Page Numbers (Bottom of Page)"/>
        <w:docPartUnique/>
      </w:docPartObj>
    </w:sdtPr>
    <w:sdtEndPr/>
    <w:sdtContent>
      <w:p w:rsidR="00E8248B" w:rsidRDefault="00E8248B">
        <w:pPr>
          <w:pStyle w:val="Altbilgi"/>
          <w:jc w:val="center"/>
        </w:pPr>
        <w:r>
          <w:fldChar w:fldCharType="begin"/>
        </w:r>
        <w:r>
          <w:instrText>PAGE   \* MERGEFORMAT</w:instrText>
        </w:r>
        <w:r>
          <w:fldChar w:fldCharType="separate"/>
        </w:r>
        <w:r w:rsidR="002B6627">
          <w:rPr>
            <w:noProof/>
          </w:rPr>
          <w:t>1</w:t>
        </w:r>
        <w:r>
          <w:fldChar w:fldCharType="end"/>
        </w:r>
      </w:p>
    </w:sdtContent>
  </w:sdt>
  <w:p w:rsidR="00E8248B" w:rsidRDefault="00E824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B" w:rsidRDefault="00E824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85" w:rsidRDefault="00FB7485" w:rsidP="001215AD">
      <w:pPr>
        <w:spacing w:after="0" w:line="240" w:lineRule="auto"/>
      </w:pPr>
      <w:r>
        <w:separator/>
      </w:r>
    </w:p>
  </w:footnote>
  <w:footnote w:type="continuationSeparator" w:id="0">
    <w:p w:rsidR="00FB7485" w:rsidRDefault="00FB7485" w:rsidP="00121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B" w:rsidRDefault="00E824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B" w:rsidRDefault="00E8248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8B" w:rsidRDefault="00E824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B9"/>
    <w:rsid w:val="000972FF"/>
    <w:rsid w:val="000A7B8C"/>
    <w:rsid w:val="00105EB9"/>
    <w:rsid w:val="001215AD"/>
    <w:rsid w:val="002A323B"/>
    <w:rsid w:val="002B6627"/>
    <w:rsid w:val="002E545A"/>
    <w:rsid w:val="00304198"/>
    <w:rsid w:val="003337D0"/>
    <w:rsid w:val="003720FE"/>
    <w:rsid w:val="00535A55"/>
    <w:rsid w:val="005F1905"/>
    <w:rsid w:val="00650461"/>
    <w:rsid w:val="00705615"/>
    <w:rsid w:val="00764C9E"/>
    <w:rsid w:val="008773FE"/>
    <w:rsid w:val="00A3718B"/>
    <w:rsid w:val="00C8699D"/>
    <w:rsid w:val="00CB1E1D"/>
    <w:rsid w:val="00D21EE8"/>
    <w:rsid w:val="00E8248B"/>
    <w:rsid w:val="00F24C34"/>
    <w:rsid w:val="00FB7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0422-B220-47AA-9B98-F05C8011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4C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4C34"/>
    <w:rPr>
      <w:b/>
      <w:bCs/>
    </w:rPr>
  </w:style>
  <w:style w:type="character" w:styleId="Vurgu">
    <w:name w:val="Emphasis"/>
    <w:basedOn w:val="VarsaylanParagrafYazTipi"/>
    <w:uiPriority w:val="20"/>
    <w:qFormat/>
    <w:rsid w:val="00D21EE8"/>
    <w:rPr>
      <w:i/>
      <w:iCs/>
    </w:rPr>
  </w:style>
  <w:style w:type="paragraph" w:styleId="stbilgi">
    <w:name w:val="header"/>
    <w:basedOn w:val="Normal"/>
    <w:link w:val="stbilgiChar"/>
    <w:uiPriority w:val="99"/>
    <w:unhideWhenUsed/>
    <w:rsid w:val="001215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15AD"/>
  </w:style>
  <w:style w:type="paragraph" w:styleId="Altbilgi">
    <w:name w:val="footer"/>
    <w:basedOn w:val="Normal"/>
    <w:link w:val="AltbilgiChar"/>
    <w:uiPriority w:val="99"/>
    <w:unhideWhenUsed/>
    <w:rsid w:val="001215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5AD"/>
  </w:style>
  <w:style w:type="character" w:styleId="Kpr">
    <w:name w:val="Hyperlink"/>
    <w:basedOn w:val="VarsaylanParagrafYazTipi"/>
    <w:uiPriority w:val="99"/>
    <w:unhideWhenUsed/>
    <w:rsid w:val="002E5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4643">
      <w:bodyDiv w:val="1"/>
      <w:marLeft w:val="0"/>
      <w:marRight w:val="0"/>
      <w:marTop w:val="0"/>
      <w:marBottom w:val="0"/>
      <w:divBdr>
        <w:top w:val="none" w:sz="0" w:space="0" w:color="auto"/>
        <w:left w:val="none" w:sz="0" w:space="0" w:color="auto"/>
        <w:bottom w:val="none" w:sz="0" w:space="0" w:color="auto"/>
        <w:right w:val="none" w:sz="0" w:space="0" w:color="auto"/>
      </w:divBdr>
    </w:div>
    <w:div w:id="583732018">
      <w:bodyDiv w:val="1"/>
      <w:marLeft w:val="0"/>
      <w:marRight w:val="0"/>
      <w:marTop w:val="0"/>
      <w:marBottom w:val="0"/>
      <w:divBdr>
        <w:top w:val="none" w:sz="0" w:space="0" w:color="auto"/>
        <w:left w:val="none" w:sz="0" w:space="0" w:color="auto"/>
        <w:bottom w:val="none" w:sz="0" w:space="0" w:color="auto"/>
        <w:right w:val="none" w:sz="0" w:space="0" w:color="auto"/>
      </w:divBdr>
    </w:div>
    <w:div w:id="647250919">
      <w:bodyDiv w:val="1"/>
      <w:marLeft w:val="0"/>
      <w:marRight w:val="0"/>
      <w:marTop w:val="0"/>
      <w:marBottom w:val="0"/>
      <w:divBdr>
        <w:top w:val="none" w:sz="0" w:space="0" w:color="auto"/>
        <w:left w:val="none" w:sz="0" w:space="0" w:color="auto"/>
        <w:bottom w:val="none" w:sz="0" w:space="0" w:color="auto"/>
        <w:right w:val="none" w:sz="0" w:space="0" w:color="auto"/>
      </w:divBdr>
    </w:div>
    <w:div w:id="736708789">
      <w:bodyDiv w:val="1"/>
      <w:marLeft w:val="0"/>
      <w:marRight w:val="0"/>
      <w:marTop w:val="0"/>
      <w:marBottom w:val="0"/>
      <w:divBdr>
        <w:top w:val="none" w:sz="0" w:space="0" w:color="auto"/>
        <w:left w:val="none" w:sz="0" w:space="0" w:color="auto"/>
        <w:bottom w:val="none" w:sz="0" w:space="0" w:color="auto"/>
        <w:right w:val="none" w:sz="0" w:space="0" w:color="auto"/>
      </w:divBdr>
    </w:div>
    <w:div w:id="775297204">
      <w:bodyDiv w:val="1"/>
      <w:marLeft w:val="0"/>
      <w:marRight w:val="0"/>
      <w:marTop w:val="0"/>
      <w:marBottom w:val="0"/>
      <w:divBdr>
        <w:top w:val="none" w:sz="0" w:space="0" w:color="auto"/>
        <w:left w:val="none" w:sz="0" w:space="0" w:color="auto"/>
        <w:bottom w:val="none" w:sz="0" w:space="0" w:color="auto"/>
        <w:right w:val="none" w:sz="0" w:space="0" w:color="auto"/>
      </w:divBdr>
    </w:div>
    <w:div w:id="1021248607">
      <w:bodyDiv w:val="1"/>
      <w:marLeft w:val="0"/>
      <w:marRight w:val="0"/>
      <w:marTop w:val="0"/>
      <w:marBottom w:val="0"/>
      <w:divBdr>
        <w:top w:val="none" w:sz="0" w:space="0" w:color="auto"/>
        <w:left w:val="none" w:sz="0" w:space="0" w:color="auto"/>
        <w:bottom w:val="none" w:sz="0" w:space="0" w:color="auto"/>
        <w:right w:val="none" w:sz="0" w:space="0" w:color="auto"/>
      </w:divBdr>
    </w:div>
    <w:div w:id="1298026927">
      <w:bodyDiv w:val="1"/>
      <w:marLeft w:val="0"/>
      <w:marRight w:val="0"/>
      <w:marTop w:val="0"/>
      <w:marBottom w:val="0"/>
      <w:divBdr>
        <w:top w:val="none" w:sz="0" w:space="0" w:color="auto"/>
        <w:left w:val="none" w:sz="0" w:space="0" w:color="auto"/>
        <w:bottom w:val="none" w:sz="0" w:space="0" w:color="auto"/>
        <w:right w:val="none" w:sz="0" w:space="0" w:color="auto"/>
      </w:divBdr>
    </w:div>
    <w:div w:id="1365445548">
      <w:bodyDiv w:val="1"/>
      <w:marLeft w:val="0"/>
      <w:marRight w:val="0"/>
      <w:marTop w:val="0"/>
      <w:marBottom w:val="0"/>
      <w:divBdr>
        <w:top w:val="none" w:sz="0" w:space="0" w:color="auto"/>
        <w:left w:val="none" w:sz="0" w:space="0" w:color="auto"/>
        <w:bottom w:val="none" w:sz="0" w:space="0" w:color="auto"/>
        <w:right w:val="none" w:sz="0" w:space="0" w:color="auto"/>
      </w:divBdr>
    </w:div>
    <w:div w:id="14851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im.org.tr/t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tuik.gov.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map.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icaret.gov.t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ica.net" TargetMode="External"/><Relationship Id="rId14" Type="http://schemas.openxmlformats.org/officeDocument/2006/relationships/hyperlink" Target="http://www.uib.org.tr/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3930</Words>
  <Characters>22404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16</cp:revision>
  <dcterms:created xsi:type="dcterms:W3CDTF">2019-12-02T13:01:00Z</dcterms:created>
  <dcterms:modified xsi:type="dcterms:W3CDTF">2019-12-17T06:40:00Z</dcterms:modified>
</cp:coreProperties>
</file>